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ACJC/1409/2013 vom 8. April 2013</w:t>
      </w:r>
    </w:p>
    <w:p>
      <w:r>
        <w:t>GE Cour de justice, 2013-04-08, FR</w:t>
      </w:r>
    </w:p>
    <w:p>
      <w:r>
        <w:rPr>
          <w:b/>
        </w:rPr>
        <w:t xml:space="preserve">Quelle: </w:t>
      </w:r>
      <w:r>
        <w:t>https://mcp.opencaselaw.ch/entscheid/ge_gerichte_ACJC_1409_2013</w:t>
      </w:r>
    </w:p>
    <w:p>
      <w:r>
        <w:t>FR: GE_GERICHTE ACJC/1409/2013 du 8 avril 2013</w:t>
      </w:r>
    </w:p>
    <w:p>
      <w:r>
        <w:t>IT: GE_GERICHTE ACJC/1409/2013 del 8 aprile 2013</w:t>
      </w:r>
    </w:p>
    <w:p>
      <w:pPr>
        <w:pStyle w:val="Heading2"/>
      </w:pPr>
      <w:r>
        <w:t>Erwägungen</w:t>
      </w:r>
    </w:p>
    <w:p>
      <w:r>
        <w:rPr>
          <w:b/>
        </w:rPr>
        <w:t>E. 1.1</w:t>
      </w:r>
    </w:p>
    <w:p>
      <w:r>
        <w:t>L'appel est dirigé contre un jugement notifié aux parties après le 1er janvier 2011, de sorte que la présente cause est régie par le nouveau droit de procédure (art. 405 al. 1 CPC).</w:t>
      </w:r>
    </w:p>
    <w:p>
      <w:r>
        <w:rPr>
          <w:b/>
        </w:rPr>
        <w:t>E. 1.2</w:t>
      </w:r>
    </w:p>
    <w:p>
      <w:r>
        <w:t>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w:t>
      </w:r>
    </w:p>
    <w:p>
      <w:r>
        <w:rPr>
          <w:b/>
        </w:rPr>
        <w:t>E. 2.1</w:t>
      </w:r>
    </w:p>
    <w:p>
      <w:r>
        <w:t>L'appel a été interjeté dans le délai de trente jours et suivant la forme prescrite par la loi (art. 130, 131, 308 al. 1 let. a, 308 al. 2 et 311 al. 1 CPC). Il est ainsi recevable.</w:t>
      </w:r>
    </w:p>
    <w:p>
      <w:r>
        <w:rPr>
          <w:b/>
        </w:rPr>
        <w:t>E. 2.2</w:t>
      </w:r>
    </w:p>
    <w:p>
      <w:r>
        <w:t>Les conclusions de première instance portent sur une valeur litigieuse supérieure à 10'000 fr. en capital (art. 91 al. 1 CPC), de sorte que la Cour connaît de la présente cause avec un plein pouvoir d'examen (art. 310 CPC).</w:t>
      </w:r>
    </w:p>
    <w:p>
      <w:r>
        <w:rPr>
          <w:b/>
        </w:rPr>
        <w:t>E. 3</w:t>
      </w:r>
    </w:p>
    <w:p>
      <w:r>
        <w:t>L'appelante demande préalablement à plaider sur les principes applicables à la procédure d'appel de marge, ressortant en particulier d'un arrêt du Tribunal fédéral du 10 juillet 2007 et d'un arrêt récent de la Cour confirmant ces principes.</w:t>
      </w:r>
    </w:p>
    <w:p>
      <w:r>
        <w:t>Selon l'art. 316 al. 1 CPC, la Cour peut notamment ordonner des débats, si elle estime que l'affaire n'est pas en état d'être tranchée.</w:t>
      </w:r>
    </w:p>
    <w:p>
      <w:r>
        <w:t>En l'espèce, l'appelante a eu l'occasion de s'exprimer largement par écrit, tant en première instance que dans son mémoire d'appel, aussi bien sur les faits de la cause que sur les principes de droit applicables selon elle aux points litigieux. En outre, la Cour, qui applique le droit d'office (art. 57 CPC), a connaissance des arrêts cités par l'appelante.</w:t>
      </w:r>
    </w:p>
    <w:p>
      <w:r>
        <w:t>La cause est dès lors en état d'être jugée, de sorte que la requête de l'appelante tendant à pouvoir plaider sur les questions de droit au centre du présent litige est rejetée.</w:t>
      </w:r>
    </w:p>
    <w:p>
      <w:r>
        <w:t>- 22/38 -</w:t>
      </w:r>
    </w:p>
    <w:p>
      <w:r>
        <w:t>C/3569/2010</w:t>
      </w:r>
    </w:p>
    <w:p>
      <w:r>
        <w:rPr>
          <w:b/>
        </w:rPr>
        <w:t>E. 4</w:t>
      </w:r>
    </w:p>
    <w:p>
      <w:r>
        <w:t>L'appelante reproche au premier juge d'avoir considéré qu'elle avait violé ses obligations contractuelles dans le cadre de la procédure d'appel de marge. Elle soutient qu'elle était en droit de réaliser les positions de l'intimée, dans la mesure où elle a procédé à un appel de marge écrit le 10 octobre 2008, auquel cette dernière n'a pas donné suite. L'intimée n'aurait pas non plus donné suite aux demandes subséquentes.</w:t>
      </w:r>
    </w:p>
    <w:p>
      <w:r>
        <w:t>La Banque allègue en premier lieu que son courrier du 10 octobre 2008 adressé à l'intimée en banque restante, qui demandait la couverture du dépassement de 1'378'000 fr. dans un délai échéant au 14 octobre 2008, lui est opposable et constituait un appel de marge valable.</w:t>
      </w:r>
    </w:p>
    <w:p>
      <w:r>
        <w:rPr>
          <w:b/>
        </w:rPr>
        <w:t>E. 4.1</w:t>
      </w:r>
    </w:p>
    <w:p>
      <w:r>
        <w:t>Les parties étaient liées par une convention de banque restante. Selon la jurisprudence, lorsqu'une banque accepte de conserver par devers elle les avis qu'elle adresse à ses clients, ses communications sont opposables à ceux-ci comme s'ils les avaient effectivement reçues (ATF 104 II 190 consid. 2a). De même, on doit admettre que le client qui adopte ce mode de communication est censé avoir pris connaissance immédiatement des avis qui lui sont adressés de cette façon (arrêts du Tribunal fédéral 4A_262/2008 du 23 septembre 2008 consid. 2.3; 4C.378/2004 du 30 mai 2005 consid. 2.2, reproduit in SJ 2006 I 1; 4C.116/1995 du 9 août 1995 consid. 5b, reproduit in SJ 1996 p. 193). En effet, l'option banque restante n'est pas utilisée dans l'intérêt de la banque mais bien dans celui du client, qui pour des raisons de discrétion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Le client qui choisit l'option banque restante prend donc un risque, dont il doit supporter les conséquences s'il se réalise (arrêt du Tribunal fédéral 4A_262/2008 précité consid. 2.3; 4C.378/2004 précité consid. 2.2, reproduit in SJ 2006 I 1). Cependant, en raison des conséquences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(art. 2 al. 2 CC). Tel est le cas lorsque la banque profite de la fiction de la réception du courrier pour agir sciemment au détriment du client, ou lorsqu'après avoir géré un compte pendant plusieurs années conformément aux instructions orales du client, la banque s'en écarte intentionnellement, alors que rien ne le laissait prévoir, ou encore lorsque la banque sait que le client n'approuve pas les</w:t>
      </w:r>
    </w:p>
    <w:p>
      <w:r>
        <w:t>- 23/38 -</w:t>
      </w:r>
    </w:p>
    <w:p>
      <w:r>
        <w:t>C/3569/2010 actes communiqués en banque restante (arrêt du Tribunal fédéral 4A_262/2008 précité consid. 2.3; 4C.378/2004 précité consid. 2.2, reproduit in SJ 2006 I 1). Que les avis de transaction et extraits de compte conservés en banque restante à la demande du client le soient sous forme électronique plutôt que sous forme de documents imprimés jusqu'au moment où le client vient les retirer ne saurait avoir d'incidence sur la date à laquelle ils sont réputés valablement notifiés selon la convention de banque restante (arrêt du Tribunal fédéral 4A_262/2008 précité consid. 4.2.2).</w:t>
      </w:r>
    </w:p>
    <w:p>
      <w:r>
        <w:rPr>
          <w:b/>
        </w:rPr>
        <w:t>E. 4.2</w:t>
      </w:r>
    </w:p>
    <w:p>
      <w:r>
        <w:t>Le crédit lombard est une ligne de crédit garantie par le nantissement de titres facilement réalisables - ou de tout autre genre de sûretés susceptibles d'être mises en gage -, dont la possession est transférée au créancier (EMCH/RENZ/ARPAGAUS, Das Schweizerische Bankgeschäft, 7ème éd., 2011, n° 968; BAUEN/ROUILLER, Relations bancaires en Suisse, 2011, p. 257 s.). L'emprunteur n'obtient du prêteur qu'un pourcentage déterminé de la valeur sur le marché des titres donnés en gage. La différence entre le montant du crédit et la valeur marchande des titres nantis constitue la marge de sécurité (arrêt du Tribunal fédéral 4A_450/2010 du 21 décembre 2010 consid. 5.2.1). La garantie pouvant devenir insuffisante suivant l'évolution des cours qui réduit cette marge, les parties peuvent prévoir le droit de la banque d'exiger l'apport de garanties complémentaires dans le délai convenu ou dans un délai approprié (appel de marge; arrêts du Tribunal fédéral 5A_739/2012 du 17 mai 2013 consid. 8.2.3; 4A_444/2012 du 10 décembre 2012 consid. 3.3; 4C.285/1993 du 5 mai 1994 consid. 3b, publié in SJ 1994 p. 729). Si l'emprunteur ne reconstitue pas la marge de sécurité, la banque peut résilier le crédit lombard, liquider le dépôt de garantie et réclamer le remboursement des avances qu'elle a consenties (arrêt du Tribunal fédéral 5A_739/2012 du 17 mai 2013 consid. 8.2.3 et références citées). Les opérations à crédit comportent des risques pour le client et pour la banque. En particulier, la banque peut être tenue de réaliser les actifs du client à un moment particulièrement défavorable et ainsi causer à ce dernier une perte dans le cadre d'une opération qui se serait révélée profitable à terme. Le principal grief que peut faire valoir un client en cas de perte est l'absence de mise en demeure de reconstituer la marge préalablement à la vente de ses actifs (ACJC/842/2013 du 28 juin 2013 consid. 6.1; LOMBARDINI, Droit bancaire suisse, 2010, n. 76, 87 et 88). Dans l'arrêt 4C.243/2006 du 10 juillet 2007, le Tribunal fédéral a considéré que la Banque avait violé les termes du contrat, en vendant des titres de son client sans avoir procédé à un appel de marge préalable. Le fait qu'il y avait eu des appels de marge les jours précédents, qui avaient conduit à un apport d'argent ou à la vente de titres, ne dispensait pas la Banque de cette obligation. Il en aurait été autrement que si la vente des titres litigieux avait été une réalisation de garanties "décalée",</w:t>
      </w:r>
    </w:p>
    <w:p>
      <w:r>
        <w:t>- 24/38 -</w:t>
      </w:r>
    </w:p>
    <w:p>
      <w:r>
        <w:t>C/3569/2010 faisant suite à un appel de marge antérieur; tel n'était toutefois pas le cas dans cette affaire.</w:t>
      </w:r>
    </w:p>
    <w:p>
      <w:r>
        <w:rPr>
          <w:b/>
        </w:rPr>
        <w:t>E. 4.3</w:t>
      </w:r>
    </w:p>
    <w:p>
      <w:r>
        <w:t>Aux termes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Les cas typiques sont l'absence d'intérêt à l'exercice d'un droit, l'utilisation d'une institution juridique contrairement à son but, la disproportion manifeste des intérêts en présence, l'exercice d'un droit sans ménagement et l'attitude contradictoire (ATF 135 III 162 consid. 3.3.1; 134 III 52 consid. 2.1; 129 III 493 consid. 5.1 et les arrêts cités). Ainsi, l'exercice d'un droit peut être abusif s'il contredit un comportement antérieur, qui avait suscité des attentes légitimes chez l'autre partie (venire contra factum proprium). Le Tribunal fédéral a admis une telle attitude contradictoire de la part d'une banque dans une affaire où le client, appelé à compléter la marge à la suite des baisses de marché liées aux événements du 11 septembre 2001, avait proposé, lors d'un entretien le 18 septembre 2001, un gage immobilier à titre de garantie. La banque avait alors promis d'examiner cette possibilité et de communiquer sa décision avant de procéder à une éventuelle liquidation des positions; or, le lendemain de l'entrevue, la banque avait fermé les positions, sans avoir respecté sa promesse et donc en contradiction avec son attitude de la veille (arrêt du Tribunal fédéral 4C.410/2004 du 16 mars 2005 consid. 2.4).</w:t>
      </w:r>
    </w:p>
    <w:p>
      <w:r>
        <w:rPr>
          <w:b/>
        </w:rPr>
        <w:t>E. 4.4</w:t>
      </w:r>
    </w:p>
    <w:p>
      <w:r>
        <w:t>En l'espèce, selon les termes du contrat qui ne prêtent pas à discussion, avant de pouvoir réaliser des titres reçus en garantie, la Banque devait, par un appel de marge, inviter l'intimée à compléter les garanties ou procéder à leur remplacement lorsque celles-ci n'étaient plus suffisantes, dans un délai librement fixé par la Banque. Dans les circonstances du cas d'espèce, il est douteux que l'appel de marge de la Banque a été effectué valablement en "banque restante". En effet, l'obligation pour la Banque de faire un appel de marge implique de contacter le client pour lui permettre, le cas échéant, de donner suite, dans le délai imparti par la Banque, à son appel de fonds, et d'éviter ainsi la liquidation de ses positions. Or, dans le cas d'espèce, la Banque savait que l'intimée ne pourrait pas avoir connaissance de son courrier du 10 octobre 2008 en banque restante, qui lui impartissait un délai au 14 octobre suivant pour remédier au dépassement de son compte, de 1'378'000 fr. A cela s'ajoute que le gestionnaire de la Banque était en contact régulier, voire même plusieurs fois par jour, avec le mandataire de l'intimée. L'appelante était donc en mesure de lui communiquer oralement le contenu de son courrier et de s'assurer que cette communication importante parvienne à la connaissance de</w:t>
      </w:r>
    </w:p>
    <w:p>
      <w:r>
        <w:t>- 25/38 -</w:t>
      </w:r>
    </w:p>
    <w:p>
      <w:r>
        <w:t>C/3569/2010 l'intimée le plus rapidement possible. Or, il n'a pas été démontré que le gestionnaire aurait, entre le 10 octobre et le 14 octobre 2008, clairement indiqué à l'intimée ou à son mandataire que la Banque exigeait un apport de fonds de 1'378'000 fr. Au demeurant, il apparaît que le gestionnaire du compte n'était pas informé de ce courrier, émis par le département du crédit, dont il ne se souvenait pas lors de son audition par le Tribunal. En tout état de cause, il n'est pas contesté que l'intimée n'a pas couvert le dépassement de son compte dans le délai échéant au 14 octobre 2008 et que la Banque a renoncé à liquider les positions pour régulariser la situation dans ce délai. En effet, il ressort des notes internes de la Banque que, le 13 octobre 2008, l'intimée a donné un contrordre à l'instruction, émise par son mandataire le</w:t>
      </w:r>
    </w:p>
    <w:p>
      <w:r>
        <w:rPr>
          <w:b/>
        </w:rPr>
        <w:t>E. 9</w:t>
      </w:r>
    </w:p>
    <w:p>
      <w:r>
        <w:t>L'appelante demande subsidiairement une réduction des dépens mis à sa charge par le Tribunal, dans la mesure où l'intimée n'a obtenu gain de cause qu'à hauteur d'environ 6% de ses conclusions principales. Elle ne remet pas en cause les dépens sur demande reconventionnelle.</w:t>
      </w:r>
    </w:p>
    <w:p>
      <w:r>
        <w:rPr>
          <w:b/>
        </w:rPr>
        <w:t>E. 9.1</w:t>
      </w:r>
    </w:p>
    <w:p>
      <w:r>
        <w:t>L'appelante peut faire réapprécier le montant ou la répartition des frais même si ses griefs au fond ou sur la recevabilité sont rejetés. Il faut distinguer cette</w:t>
      </w:r>
    </w:p>
    <w:p>
      <w:r>
        <w:t>- 35/38 -</w:t>
      </w:r>
    </w:p>
    <w:p>
      <w:r>
        <w:t>C/3569/2010 situation de celle d'une nouvelle décision sur les frais de première instance si l'instance d'appel statue à nouveau (art. 318 al. 3 CPC), nouvelle décision qui peut intervenir d'office, mais qui suppose l'admission des griefs d'appel touchant le fond ou la recevabilité (ACJC/1332/2011 du 21 octobre 2011 consid. 7.1). La question des dépens de première instance s'examine en l'occurrence à la lumière des art. 176 à 181 aLPC (cf. consid. 1.2 supra). Tout jugement, même sur incident, doit condamner aux dépens la partie qui succombe (art. 176 al. 1 aLPC). Cependant, la partie qui a obtenu gain de cause peut être condamnée à une partie des dépens, sans préjudice des peines prévues contre les parties, si elle a provoqué des frais inutiles ou si ses conclusions sont exagérées (art. 176 al. 2 aLPC). Le principe de base qui régit la répartition des dépens est celui du résultat ou "Erfolgsprinzip" (ATF 119 Ia 1; BERTOSSA/GAILLARD/GUYET/SCHMIDT, Com- mentaire de la loi de procédure civile genevoise, n. 6 ad art. 176 aLPC). Les dépens comprennent les frais exposés dans la cause et une indemnité de procédure (art. 181 al. 1 aLPC). Cette dernière est fixée en équité par le juge, en tenant compte notamment de l'importance de la cause, de ses difficultés, de l'ampleur de la procédure et de frais éventuels non prévus (al. 3).</w:t>
      </w:r>
    </w:p>
    <w:p>
      <w:r>
        <w:rPr>
          <w:b/>
        </w:rPr>
        <w:t>E. 9.2</w:t>
      </w:r>
    </w:p>
    <w:p>
      <w:r>
        <w:t>En l'espèce, l'appelante ne conteste pas le montant total de l'indemnité de procédure fixée par le premier juge, de 40'000 fr., seule une réduction de la part mise à sa charge étant sollicitée. Elle ne réclame pas non plus une participation de sa partie adverse à ses propres dépens de première instance. L'intimée a formulé en première instance des conclusions à hauteur de 5'246'398 USD en capital. Elle a obtenu gain de cause sur le principe de sa demande et pour 324'597.22 USD, soit environ 6% du montant de ses conclusions. Dans ces conditions et conformément aux principes rappelés ci-dessus, il se justifie de condamner l'appelante à la moitié des dépens de première instance de l'intimée, dont la totalité comprendra une indemnité de procédure de 40'000 fr. valant participation aux honoraires d'avocat de l'intimée. Le chiffre 2 du dispositif du jugement querellé sera donc annulé et modifié en ce sens. Pour le surplus, l'appelante ne sollicite pas de dépens en sa faveur sur demande principale. Il n'y a donc pas lieu de lui en allouer, la présente cause étant régie par la stricte maxime des débats (art. 55 al. 2 CPC).</w:t>
      </w:r>
    </w:p>
    <w:p>
      <w:r>
        <w:rPr>
          <w:b/>
        </w:rPr>
        <w:t>E. 10</w:t>
      </w:r>
    </w:p>
    <w:p>
      <w:r>
        <w:t>L'appelante, qui succombe pour l'essentiel en appel sauf sur la question secondaire des dépens, sera condamnée aux frais judiciaires d'appel. Dans la mesure où les</w:t>
      </w:r>
    </w:p>
    <w:p>
      <w:r>
        <w:t>- 36/38 -</w:t>
      </w:r>
    </w:p>
    <w:p>
      <w:r>
        <w:t>C/3569/2010 conclusions principales et reconventionnelles s'opposent, la valeur litigieuse la plus élevée, soit en l'occurrence celle de la demande reconventionnelle, doit être prise en compte pour calculer les frais (art. 93 al. 1 CPC; soit 455'277.87 USD et 1'544'642 JPY = 442'228 fr., au taux de change du jour du dépôt de l'appel). Ceux- ci seront dès lors fixés à 15'000 fr. (art. 17 et 35 RTFMC). Ils sont entièrement compensés par l'avance de frais de 17'000 fr. effectuée par l'appelante. L'Etat de Genève, soit pour lui les Services financiers du Pouvoir judiciaire, sera dès lors invité à restituer à l'appelante le surplus de 2'000 fr. (art. 111 CPC).</w:t>
      </w:r>
    </w:p>
    <w:p>
      <w:r>
        <w:t>L'appelante sera également condamnée aux dépens de sa partie adverse, arrêtés à 15'000 fr., débours et TVA compris, compte tenu des critères fixés à l'art. 20 LaCC (art. 95, 104 al. 1, 105 et 106 al. 1 CPC; art. 20 et 21 LaCC; art. 85 al. 1 et 90 Règlement fixant le tarif des frais en matière civile). * * * * *</w:t>
      </w:r>
    </w:p>
    <w:p>
      <w:r>
        <w:t>- 37/38 -</w:t>
      </w:r>
    </w:p>
    <w:p>
      <w:r>
        <w:t>C/3569/2010 PAR CES MOTIFS, La Chambre civile : A la forme : Déclare recevable l'appel interjeté par A______ contre le jugement JTPI/4880/2013 rendu le 8 avril 2013 par le Tribunal de première instance dans la cause C/3569/2010-1. Au fond : Annule le chiffre 2 du dispositif de ce jugement et, statuant à nouveau : Condamne A______ à la moitié des dépens de première instance, dont la totalité comprendra une indemnité de procédure de 40'000 fr. valant participation aux honoraires d'avocat de B______. Confirme le jugement querellé pour le surplus. Déboute les parties de toutes autres conclusions. Sur les frais : Arrête les frais judiciaires d'appel à 15'000 fr., les met à la charge de A______ et les compense avec l'avance de frais de 17'000 fr. effectuée par A______. Invite en conséquence l'Etat de Genève, soit pour lui les Services financiers du Pouvoir judiciaire, à restituer à A______ le surplus de 2'000 fr. Condamne A______ à verser à B______ 15'000 fr. à titre de dépens d'appel. Siégeant : Madame Florence KRAUSKOPF, présidente; Madame Marguerite JACOT-DES- COMBES, Madame Sylvie DROIN, juges; Madame Nathalie DESCHAMPS, greffière.</w:t>
      </w:r>
    </w:p>
    <w:p>
      <w:r>
        <w:t>La présidente : Florence KRAUSKOPF</w:t>
      </w:r>
    </w:p>
    <w:p>
      <w:r>
        <w:t>La greffière : Nathalie DESCHAMPS</w:t>
      </w:r>
    </w:p>
    <w:p>
      <w:r>
        <w:t>- 38/38 -</w:t>
      </w:r>
    </w:p>
    <w:p>
      <w:r>
        <w:t>C/3569/2010</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