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ACJC/1408/2023 vom 11. Juli 2023</w:t>
      </w:r>
    </w:p>
    <w:p>
      <w:r>
        <w:t>GE Cour de justice, 2023-07-11, FR</w:t>
      </w:r>
    </w:p>
    <w:p>
      <w:r>
        <w:rPr>
          <w:b/>
        </w:rPr>
        <w:t xml:space="preserve">Quelle: </w:t>
      </w:r>
      <w:r>
        <w:t>https://mcp.opencaselaw.ch/entscheid/ge_gerichte_ACJC_1408_2023</w:t>
      </w:r>
    </w:p>
    <w:p>
      <w:r>
        <w:t>FR: GE_GERICHTE ACJC/1408/2023 du 11 juillet 2023</w:t>
      </w:r>
    </w:p>
    <w:p>
      <w:r>
        <w:t>IT: GE_GERICHTE ACJC/1408/2023 del 11 luglio 2023</w:t>
      </w:r>
    </w:p>
    <w:p>
      <w:pPr>
        <w:pStyle w:val="Heading2"/>
      </w:pPr>
      <w:r>
        <w:t>Volltext</w:t>
      </w:r>
    </w:p>
    <w:p>
      <w:r>
        <w:t>Le présent arrêt est communiqué aux parties par plis recommandés du 20 octobre 2023</w:t>
      </w:r>
    </w:p>
    <w:p>
      <w:r>
        <w:t>REPUBLIQUE ET</w:t>
      </w:r>
    </w:p>
    <w:p>
      <w:r>
        <w:t>CANTON DE GENEVE POUVOIR JUDICIAIRE C/10020/2022 ACJC/1408/2023 ARRÊT DE LA COUR DE JUSTICE Chambre civile DU JEUDI 19 OCTOBRE 2023</w:t>
      </w:r>
    </w:p>
    <w:p>
      <w:r>
        <w:t>Entre Monsieur A______, domicilié ______ [VD], appelant d'un jugement rendu par la 21ème Chambre du Tribunal de première instance de ce canton le 11 juillet 2023, représenté par Me Annette MICUCCI, avocate, Merkt &amp; Associés, Rue Général- Dufour 15, Case postale , 1211 Genève 4, et Madame B______, domiciliée ______ [GE], intimée, représentée par Me Magda KULIK, avocate, KULIK SEIDLER, rue du Rhône 116, 1204 Genève.</w:t>
      </w:r>
    </w:p>
    <w:p>
      <w:r>
        <w:t>- 2/4 -</w:t>
      </w:r>
    </w:p>
    <w:p>
      <w:r>
        <w:t>C/10020/2022 Attendu, EN FAIT, que par jugement du 11 juillet 2023, le Tribunal de première instance, statuant par voie de procédure sommaire sur mesures protectrices de l'union conjugale, a notamment, concernant la garde de l'enfant C______, né le ______ 2019, attribué, jusqu'au 30 novembre 2023, la garde de l'enfant à A______ et réservé à B______ un droit aux relations personnelles qui s'exercera, sauf accord contraire des parties, un week-end sur deux, du vendredi à la sortie de la crèche jusqu'au lundi matin, retour à la crèche ainsi que, une semaine sur deux, du mardi à la sortie de la crèche jusqu'au jeudi matin, retour à la crèche, puis, à partir du 1er décembre 2023, instauré la garde alternée de l'enfant C______, une semaine chez chaque parent, avec passage entre les parents à la crèche de [l'école privée] D______ puis à l'école et réparti les vacances par moitié (ch. 2 du dispositif), dit qu'à partir de l'instauration de la garde alternée, le domicile légal de l'enfant sera chez sa mère (ch. 3) et condamné cette dernière à payer à A______, par mois et d'avance, à partir du 1er février 2023, le montant de 1'075 fr. tant que A______ aura la garde de C______, ce montant étant dû sous imputation de l'écolage payé directement à [l'école privée] D______ par B______, à savoir 7'525 fr. au 20 juin 2023 (ch. 10); Que par acte expédié à la Cour de justice le 28 août 2023, A______ a formé appel contre ce jugement; qu'il a conclu, principalement, à l'annulation des ch. 2, 3 et 10 précités et, cela fait, à ce que la garde exclusive sur l'enfant lui soit attribuée, à ce qu'un droit de visite soit réservé à la mère un week-end sur deux et la moitié des vacances scolaires et à ce que B______ soit condamnée à lui verser une contribution à l'entretien de l'enfant de 2'900 fr. par mois dès le 1er décembre 2022, sous déduction d'un montant de 7'525 fr.; Qu'il a conclu, préalablement à la suspension du caractère exécutoire des ch. 2 et 3 du dispositif du jugement attaqué; qu'il soutient que la situation de l'enfant s'est stabilisée depuis qu'il en exerce la garde exclusive depuis neuf mois et qu'il convient de maintenir la situation; Qu'invitée à se déterminer, B______ a conclu au rejet de cette requête;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cependant exceptionnellement être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w:t>
      </w:r>
    </w:p>
    <w:p>
      <w:r>
        <w:t>- 3/4 -</w:t>
      </w:r>
    </w:p>
    <w:p>
      <w:r>
        <w:t>C/10020/2022 juridique de fond et, pour celui qui recourt contre le prononcé de telles mesures, par les conséquences matérielles qu'elles engendrent; Qu'en matière de garde, la jurisprudence considère que des changements trop fréquents peuvent être préjudiciables à l'intérêt de l'enfant; que, par conséquent, lorsque la décision de mesures protectrices ou provisionnelles statue sur la garde ou modifie celle- 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que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 4.2.1; 138 III 565 consid. 4.3.2; arrêt du Tribunal fédéral 5A_223/2022 du 29 août 2022, consid. 3.1.1); Qu'en l'espèce, il n'est pas contesté qu'en l'état, l'appelant dispose de la garde de l'enfant; que l'intimée soutient certes que la garde exclusive de l'enfant aurait dû lui être octroyée; que cela étant, elle ne rend pas vraisemblable que le maintien de la situation actuelle serait contraire à l'intérêt de l'enfant; Qu'au vu de ce qui précède, afin d'éviter, le cas échéant, des changements dans le mode de garde, la requête d'effet suspensif sera admise; Qu'il sera statué sur les frais et dépens liés à la présente décision avec la décision au fond (art. 104 al. 3 CPC). * * * * *</w:t>
      </w:r>
    </w:p>
    <w:p>
      <w:r>
        <w:t>- 4/4 -</w:t>
      </w:r>
    </w:p>
    <w:p>
      <w:r>
        <w:t>C/10020/2022 PAR CES MOTIFS, La Chambre civile : Statuant sur requête de suspension du caractère exécutoire du jugement attaqué: Admet la requête formée par A______ tendant à suspendre le caractère exécutoire des ch. 2 et 3 du dispositif du jugement JTPI/8184/2023 rendu le 11 juillet 2023 par le Tribunal de première instance dans la cause C/10020/2022. Dit qu'il sera statué sur les frais liés à la présente décision dans l'arrêt rendu sur le fond. Siégeant : Monsieur Laurent RIEBEN, président; Madame Jessica ATHMOUNI, greffière.</w:t>
      </w:r>
    </w:p>
    <w:p>
      <w:r>
        <w:t>Indications des voies de recours:</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