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ACJC/1406/2020 vom 14. Oktober 2020</w:t>
      </w:r>
    </w:p>
    <w:p>
      <w:r>
        <w:t>GE Cour de justice, 2020-10-14, FR</w:t>
      </w:r>
    </w:p>
    <w:p>
      <w:r>
        <w:rPr>
          <w:b/>
        </w:rPr>
        <w:t xml:space="preserve">Quelle: </w:t>
      </w:r>
      <w:r>
        <w:t>https://mcp.opencaselaw.ch/entscheid/ge_gerichte_ACJC_1406_2020</w:t>
      </w:r>
    </w:p>
    <w:p>
      <w:r>
        <w:t>FR: GE_GERICHTE ACJC/1406/2020 du 14 octobre 2020</w:t>
      </w:r>
    </w:p>
    <w:p>
      <w:r>
        <w:t>IT: GE_GERICHTE ACJC/1406/2020 del 14 ottobre 2020</w:t>
      </w:r>
    </w:p>
    <w:p>
      <w:pPr>
        <w:pStyle w:val="Heading2"/>
      </w:pPr>
      <w:r>
        <w:t>Erwägungen</w:t>
      </w:r>
    </w:p>
    <w:p>
      <w:r>
        <w:rPr>
          <w:b/>
        </w:rPr>
        <w:t>E. 1</w:t>
      </w:r>
    </w:p>
    <w:p>
      <w:r>
        <w:t>L'appel, dirigé à l'encontre d'une décision de première instance prise sur mesures provisionnelles (art. 308 al. 1 let. b CPC), dans une cause dont la valeur litigieuse est supérieure à 10'000 fr. compte tenu des prétentions en attribution du domicile conjugal et en versement d'une contribution d'entretien de 3'000 fr. par mois (art. 92 al. 2 et 308 al. 2 CPC), interjeté dans le délai utile de dix jours (art. 248 let. d et 314 al. 1 CPC) et suivant la forme prescrite par la loi (art. 130 al. 1, 131, 252 et 311 CPC), est recevable.</w:t>
      </w:r>
    </w:p>
    <w:p>
      <w:r>
        <w:t>- 5/10 -</w:t>
      </w:r>
    </w:p>
    <w:p>
      <w:r>
        <w:t>C/15550/2019</w:t>
      </w:r>
    </w:p>
    <w:p>
      <w:r>
        <w:rPr>
          <w:b/>
        </w:rPr>
        <w:t>E. 2</w:t>
      </w:r>
    </w:p>
    <w:p>
      <w:r>
        <w:t>A juste titre, les parties ne contestent pas la compétence ratione loci des tribunaux genevois pour prononcer les mesures litigieuses. Compte tenu de la procédure de divorce engagée en Tunisie, la compétence des Tribunaux genevois pour prononcer des mesures à titre provisoire est fondée sur l'article 10 LDIP (ATF 134 III 326 consid. 3.2, JdT 2009 I 215; arrêt du Tribunal fédéral 5A_214/2016 du 26 août 2016, consid. 5.1) et, sur le plan interne, sur l'art. 23 CPC, au vu du domicile genevois des deux parties. Le droit suisse est applicable, compte tenu du domicile genevois des parties (art. 48 et 49 LDIP et art. 4 de la Convention de La Haye du 2 octobre 1973 sur la loi applicable aux obligations alimentaires [RS 0.211.213.01]).</w:t>
      </w:r>
    </w:p>
    <w:p>
      <w:r>
        <w:rPr>
          <w:b/>
        </w:rPr>
        <w:t>E. 3</w:t>
      </w:r>
    </w:p>
    <w:p>
      <w:r>
        <w:t>La Cour revoit la cause avec un plein pouvoir d'examen en fait et en droit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5A_792/2016 du 23 janvier 2017 consid. 4.1). Les maximes de disposition (art. 58 al. 1 CPC) et inquisitoire sociale sont applicables (art. 272 CPC) en ce qui concerne l'attribution de la jouissance du domicile conjugal (arrêt du Tribunal fédéral 5A_524/2017 du 9 octobre 2017 consid. 4.2) et la contribution d'entretien due à l'épouse (ATF 129 III 417 consid. 2.1.2; arrêt du Tribunal fédéral 5A_315/2016 du 7 février 2017 consid. 9).</w:t>
      </w:r>
    </w:p>
    <w:p>
      <w:r>
        <w:rPr>
          <w:b/>
        </w:rPr>
        <w:t>E. 4.1</w:t>
      </w:r>
    </w:p>
    <w:p>
      <w:r>
        <w:t>Les conclusions réduites (2'270 fr. par mois de contribution d'entretien au lieu de 3'000 fr. par mois) de l'appelante devant la Cour ne sont pas nouvelles puisqu'une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 Elles sont, partant, recevables.</w:t>
      </w:r>
    </w:p>
    <w:p>
      <w:r>
        <w:rPr>
          <w:b/>
        </w:rPr>
        <w:t>E. 4.2</w:t>
      </w:r>
    </w:p>
    <w:p>
      <w:r>
        <w:t>Les pièces nouvelles déposées par l'intimé à l'appui de son mémoire de réponse à l'appel sont recevables dès lors qu'elles sont relatives à des faits qui se sont déroulés postérieurement au prononcé du jugement (art. 317 al. 1 CPC).</w:t>
      </w:r>
    </w:p>
    <w:p>
      <w:r>
        <w:rPr>
          <w:b/>
        </w:rPr>
        <w:t>E. 5</w:t>
      </w:r>
    </w:p>
    <w:p>
      <w:r>
        <w:t>L'appelante reproche au Tribunal d'avoir attribué le domicile conjugal à l'intimé. Elle fait valoir que le seul élément en lien avec l'état de santé de l'intimé et le domicile conjugal concerne la question de l'éclairage, lequel peut être déplacé dans un autre logement, alors qu'elle-même, sans ressources et au bénéfice d'un permis B, aurait de la peine à se reloger.</w:t>
      </w:r>
    </w:p>
    <w:p>
      <w:r>
        <w:t>- 6/10 -</w:t>
      </w:r>
    </w:p>
    <w:p>
      <w:r>
        <w:t>C/15550/2019</w:t>
      </w:r>
    </w:p>
    <w:p>
      <w:r>
        <w:rPr>
          <w:b/>
        </w:rPr>
        <w:t>E. 5.1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5A_829/2016 du 15 février 2017 consid. 3.1; 5A_470/2016 du 13 décembre 2016 consid. 5.1; 5A_904/2015 du 29 septembre 2016 consid. 4.2 et les références).</w:t>
      </w:r>
    </w:p>
    <w:p>
      <w:r>
        <w:rPr>
          <w:b/>
        </w:rPr>
        <w:t>E. 5.2</w:t>
      </w:r>
    </w:p>
    <w:p>
      <w:r>
        <w:t>En l'espèce, l'appartement conjugal n'est pas aménagé spécialement pour pallier la malvoyance de l'intimé, seul des éclairages spéciaux ayant été installés. C'est toutefois la totalité de l'appartement qui constitue un repère pour l'intimé qui, pour y vivre depuis dix-sept ans, s'y est créé des repères spatiaux afin de se déplacer plus facilement. Or, même à imaginer que l'intimé puisse trouver un nouveau logement dans le même quartier, un déménagement impliquerait pour lui des semaines, voire des mois, de réadaptation à son nouvel environnement. Par ailleurs, il n'est pas contesté que l'appelante ne bénéficie d'aucun revenu, de sorte qu'elle rencontrera des difficultés à trouver un logement. Mais les difficultés ne seraient pas moindres pour l'intimé dont les seuls revenus sont constitués d'une</w:t>
      </w:r>
    </w:p>
    <w:p>
      <w:r>
        <w:t>- 7/10 -</w:t>
      </w:r>
    </w:p>
    <w:p>
      <w:r>
        <w:t>C/15550/2019 rente AI et d'une allocation pour impotent totalisant 1'677 fr. par mois et pour qui la recherche d'un logement s'avérerait compliquée en raison de sa malvoyance. Compte tenu de ce qui précède, c'est à juste titre que le premier juge a considéré que l'intimé avait un intérêt prépondérant à conserver la jouissance du domicile conjugal. Par conséquent, le chiffre 2 du dispositif du jugement sera confirmé. L'appelante a conclu à l'annulation du chiffre 3 du dispositif du jugement lui fixant un délai au 31 décembre 2019 pour quitter le domicile conjugal. Elle n'a toutefois pas critiqué le jugement sur ce point, de sorte qu'il sera également confirmé. Elle semble d'ailleurs l'avoir d'ores et déjà quitté et vivre, en l'état, dans un foyer.</w:t>
      </w:r>
    </w:p>
    <w:p>
      <w:r>
        <w:rPr>
          <w:b/>
        </w:rPr>
        <w:t>E. 6</w:t>
      </w:r>
    </w:p>
    <w:p>
      <w:r>
        <w:t>L'appelante reproche au Tribunal de ne pas avoir condamné son époux à lui verser une contribution à son entretien alors qu'il réalise, selon elle, un revenu mensuel de 5'011 fr. par mois et qu'il est propriétaire d'un terrain en Tunisie. Elle ne remet pas en cause les charges retenues pour l'intimé par le premier juge.</w:t>
      </w:r>
    </w:p>
    <w:p>
      <w:r>
        <w:rPr>
          <w:b/>
        </w:rPr>
        <w:t>E. 6.1</w:t>
      </w:r>
    </w:p>
    <w:p>
      <w:r>
        <w:t>A la requête d'un des conjoints et si la suspension de la vie commune est fondée, le juge fixe la contribution pécuniaire à verser par l'une des parties à l'autre (art. 176 al. 1 ch. 1 CC). Le principe et le montant de la contribution d'entretien se déterminent en fonction des facultés économiques et des besoins respectifs des époux. La loi ne prescrit pas de méthode de calcul particulière pour arrêter la contribution d'entretien. L'obligation d'entretien trouve sa limite dans la capacité contributive du débirentier, en ce sens que le minimum vital de celui-ci doit être préservé (ATF 140 III 337 consid. 4.2.2 et 4.3; 128 III 411 consid. 3.2.2; arrêt du Tribunal fédéral du 5A_534/2019 du 31 janvier 2020 consid. 4.1). 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et les références; arrêts 5A_788/2018 du 16 juillet 2019 consid. 4.3; 5A_524/2017 du 9 octobre 2017 consid. 5.1.3).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En revanche, le revenu déterminant ne comprend ni</w:t>
      </w:r>
    </w:p>
    <w:p>
      <w:r>
        <w:t>- 8/10 -</w:t>
      </w:r>
    </w:p>
    <w:p>
      <w:r>
        <w:t>C/15550/2019 l'assistance sociale ni les prestations complémentaires AVS/AI. Les époux doivent en principe subvenir seuls à leurs besoins vitaux; l'aide sociale, par nature subsidiaire, n'intervient qu'en cas de carence et elle est supprimée lorsque les conjoints peuvent assumer seuls leurs dépenses incompressibles (arrêts du Tribunal fédéral 5A_128/2016 du 22 août 2016 consid. 5.1.4.1; 5A_158/2010 du 25 mars 2010 consid. 3.2; 5A_170/2007 du 27 juin 2007 consid. 4, in FamPra.ch 2007 p. 895 et les références). De même, une allocation pour impotent ne doit pas être ajoutée au revenu du débirentier, car elle vise à financer l’aide dont son bénéficiaire a besoin pour accomplir les actes élémentaires de la vie quotidienne et non son entretien (arrêt du Tribunal fédéral 5A_372/2016 du 18 novembre 2016, consid. 5.1.1 et 5.2; 5A_808/2012 du 29 août 2013, consid. 3.1.2.2 et 4.4.2).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5A_592/2016 du 8 mars 2017 consid. 4.3.3; 5A_136/2016 du 12 septembre 2016 consid. 3; 5A_372/2015 du 29 septembre 2015 consid. 4.3.3).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5A_125/2019 du 9 septembre 2019 consid. 5.3; 5A_524/2017 du 9 octobre 2017 consid. 5.1.3; 5A_25/2015 du 5 mai 2015 consid. 3.2).</w:t>
      </w:r>
    </w:p>
    <w:p>
      <w:r>
        <w:rPr>
          <w:b/>
        </w:rPr>
        <w:t>E. 6.2</w:t>
      </w:r>
    </w:p>
    <w:p>
      <w:r>
        <w:t>En l'espèce, c'est à tort que l'appelante reproche au Tribunal de ne pas avoir tenu compte des prestations complémentaires dans les revenus de l'intimé dès lors qu'il s'agit d'aide sociale, étant relevé que celle-ci sera revue à la baisse à la suite de la séparation des parties puisque seuls les besoins de l'intimé seront alors pris en considération. En outre, l'allocation pour impotent de 470 fr. aurait également dû être écartée. Par conséquent, les revenus de l'intimé sont composés exclusivement de sa rente AI de 1'207 fr. par mois, ce qui est insuffisant à couvrir ses charges mensuelles, non contestées, de 2'263 fr.</w:t>
      </w:r>
    </w:p>
    <w:p>
      <w:r>
        <w:t>Il n'est pas allégué que le bien immobilier que l'intimé détient en Tunisie lui procurerait ou pourrait lui procurer des revenus et il serait disproportionné d'exiger de l'intimé qu'il vende l'unique bien de faible valeur, difficilement réalisable, dont il est propriétaires pour contribuer à l'entretien de son épouse pendant moins d'une année (33'500 fr. divisé à raison de 1'000 fr. par mois pour l'intimé et 2'270 fr. par mois pour l'appelante), étant relevé que le déficit de</w:t>
      </w:r>
    </w:p>
    <w:p>
      <w:r>
        <w:t>- 9/10 -</w:t>
      </w:r>
    </w:p>
    <w:p>
      <w:r>
        <w:t>C/15550/2019 1'000 fr. par mois de l'intimé devrait être couvert avant que l'appelante ne puisse prétendre à une contribution à son entretien. Au vu de ce qui précède, c'est à juste titre que le premier juge a considéré que l'intimé ne disposait pas d'une capacité financière suffisante pour contribuer à l'entretien de son épouse. Le jugement sera donc confirmé en tant qu'il déboute l'appelante de ses conclusions en versement d'une contribution à son entretien.</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y compris ceux de la décision sur effet suspensif, seront fixés à 1'000 fr. (art. 31 et 35 RTFMC). Ils seront mis à la charge de l'appelante, qui succombe, et compensés avec l'avance de 1'000 fr. fournie par l'appelante qui demeure acquise à l'Etat de Genève (art. 111 al. 1 CPC). Compte tenu du caractère familial du litige, chaque partie supportera ses propres dépens. * * * * *</w:t>
      </w:r>
    </w:p>
    <w:p>
      <w:r>
        <w:t>- 10/10 -</w:t>
      </w:r>
    </w:p>
    <w:p>
      <w:r>
        <w:t>C/15550/2019 PAR CES MOTIFS, La Chambre civile : A la forme : Déclare recevable l'appel interjeté le 1er novembre 2019 par A______ contre le jugement JTPI/14772/2019 rendu le 17 octobre 2019 par le Tribunal de première instance dans la cause C/15550/2019-13. Au fond : Confirme le jugement entrepris. Déboute les parties de toutes autres conclusions. Sur les frais : Arrête les frais judiciaires d'appel à 1'000 fr., les compense avec l'avance de frais versée par A______, acquise à l'Etat de Genève, et les met à la charge de A______. Dit qu'il n'est pas alloué de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