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ACJC/1405/2017 vom 31. Oktober 2017</w:t>
      </w:r>
    </w:p>
    <w:p>
      <w:r>
        <w:t>GE Cour de justice, 2017-10-31, FR</w:t>
      </w:r>
    </w:p>
    <w:p>
      <w:r>
        <w:rPr>
          <w:b/>
        </w:rPr>
        <w:t xml:space="preserve">Quelle: </w:t>
      </w:r>
      <w:r>
        <w:t>https://mcp.opencaselaw.ch/entscheid/ge_gerichte_ACJC_1405_2017</w:t>
      </w:r>
    </w:p>
    <w:p>
      <w:r>
        <w:t>FR: GE_GERICHTE ACJC/1405/2017 du 31 octobre 2017</w:t>
      </w:r>
    </w:p>
    <w:p>
      <w:r>
        <w:t>IT: GE_GERICHTE ACJC/1405/2017 del 31 ottobre 2017</w:t>
      </w:r>
    </w:p>
    <w:p>
      <w:pPr>
        <w:pStyle w:val="Heading2"/>
      </w:pPr>
      <w:r>
        <w:t>Erwägungen</w:t>
      </w:r>
    </w:p>
    <w:p>
      <w:r>
        <w:rPr>
          <w:b/>
        </w:rPr>
        <w:t>E. 1.1</w:t>
      </w:r>
    </w:p>
    <w:p>
      <w:r>
        <w:t>Interjetés dans le délai utile de dix jours (art. 271 let. a, 276 et 314 al. 1 CPC), suivant la forme prescrite par la loi (art. 130, 131, 311 al. 1 CPC), à l'encontre d'une décision rendue sur mesures provisionnelles au sens de l'art. 308 al. 1 let. b CPC et statuant sur une affaire non pécuniaire dans son ensemble, puisque portant notamment sur les droits parentaux (arrêt du Tribunal fédéral 5A_765/2012 du 19 février 2013), les appels émanant des deux parties sont recevables. Dirigés contre le même jugement et comportant des liens étroits, il se justifie de les traiter dans un seul arrêt (cf. art. 125 CPC). Par souci de simplification, l'époux sera désigné en qualité d'appelant et l'épouse en qualité d'intimée.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Dès lors que la Cour dispose de tous les documents nécessaires relatifs aux revenus de l'appelant pour lui permettre de statuer sur mesures provisionnelles, il n'y a pas lieu d'entendre le directeur de l'appelant sur ce sujet. Par conséquent, l'appelant sera débouté de ce chef de conclusions préalables.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En revanche, la maxime de disposition est applicable s'agissant de la contribution d'entretien due à l'épouse (art. 58 CPC; arrêt du Tribunal fédéral 5A_757/2013 du 14 juillet 2014 consid. 2.1).</w:t>
      </w:r>
    </w:p>
    <w:p>
      <w:r>
        <w:rPr>
          <w:b/>
        </w:rPr>
        <w:t>E. 1.3</w:t>
      </w:r>
    </w:p>
    <w:p>
      <w:r>
        <w:t>Que la cause soit soumise à la maxime des débats (art. 55 al. 1 CPC) ou à la maxime inquisitoire, il incombe à l'appelant de motiver son appel (art. 311</w:t>
      </w:r>
    </w:p>
    <w:p>
      <w:r>
        <w:t>- 8/20 -</w:t>
      </w:r>
    </w:p>
    <w:p>
      <w:r>
        <w:t>C/21687/2015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(ACJC/809/2016 du 1er juin 2016 consid. 1.3.1; ACJC/267/2015 du 6 mars 2015 consid. 1.3).</w:t>
      </w:r>
    </w:p>
    <w:p>
      <w:r>
        <w:rPr>
          <w:b/>
        </w:rPr>
        <w:t>E. 2.2</w:t>
      </w:r>
    </w:p>
    <w:p>
      <w:r>
        <w:t>En l'espèce, les pièces produites par les parties en appel sont recevables, dès lors qu'elles concernent la capacité contributive de chacun des parents et sont donc pertinentes pour fixer la contribution due à l'entretien de l'enfant mineur.</w:t>
      </w:r>
    </w:p>
    <w:p>
      <w:r>
        <w:rPr>
          <w:b/>
        </w:rPr>
        <w:t>E. 3</w:t>
      </w:r>
    </w:p>
    <w:p>
      <w:r>
        <w:t>L'appelant reproche au Tribunal de ne pas avoir instauré une garde alternée.</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Lorsqu'il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demandent (art. 298 al. 2ter CC).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du Tribunal fédéral 5A_266/2015 du 24 juin 2015 consid. 4.2.2.1 ;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w:t>
      </w:r>
    </w:p>
    <w:p>
      <w:r>
        <w:t>- 9/20 -</w:t>
      </w:r>
    </w:p>
    <w:p>
      <w:r>
        <w:t>C/21687/2015 l'enfant constitue en effet la règle fondamentale en matière d'attribution des droits parentaux (ATF 141 III 328 consid. 5.4), les intérêts des parents devant être relégués au second plan (ATF 131 III 209 consid. 5). Pour apprécier ces critères, le juge du fait dispose d'un large pouvoir d'appréciation (ATF 115 II 317 consid. 2 et 3; arrêt du Tribunal fédéral 5A_154/2016 du 19 mai 2016 consid. 4.1 et 5A_714/2015 du 28 avril 2016 consid. 4.2.1.3).</w:t>
      </w:r>
    </w:p>
    <w:p>
      <w:r>
        <w:rPr>
          <w:b/>
        </w:rPr>
        <w:t>E. 3.2</w:t>
      </w:r>
    </w:p>
    <w:p>
      <w:r>
        <w:t>En l'espèce, l'enfant vit avec sa mère depuis la séparation des parties et les allégations de l'appelant selon lesquelles une garde partagée de fait aurait été instaurée de juillet à décembre 2016 ne sont pas rendues vraisemblables. L'appelant soutient qu'une garde alternée est nécessaire car il serait le seul à pouvoir assurer le suivi scolaire de C______ de manière adéquate. Il en veut pour preuve les problèmes scolaires de l'enfant survenus entre la rentrée de septembre 2016 et le mois de décembre 2016. Il résulte toutefois du rapport du Service de protection des mineurs que le père était, tout comme la mère, au courant des difficultés scolaires de l'enfant et qu'il n'a pas été plus prompt à réagir que la mère. Dès lors que le père a eu pleinement accès aux carnets scolaires de l'enfant une garde alternée n'aurait pas eu pour conséquence d'améliorer la situation de l'enfant. Travaillant à plein temps, le père n'aurait notamment pas pu mieux que la mère s'assurer que l'enfant se rendait aux études surveillées, qui ont lieu entre 16h et 17h. Par ailleurs, l'appelant partage déjà son appartement de quatre pièces avec son fils aîné âgé de 27 ans, de sorte que C______ ne disposerait pas de sa propre chambre au sein de ce foyer et devrait vraisemblablement partager sa chambre avec son frère ou son père. Enfin, l'enfant, âgé de 12 ans, a émis le souhait de continuer de vivre avec sa mère. Cette dernière, qui n'exerce pas d'activité lucrative, dispose de plus de temps que le père pour s'occuper de l'enfant, notamment les mercredis, et selon l'enfant elle serait plus cadrante. Dans ces conditions, il y a lieu, sur mesures provisionnelles, de privilégier le maintien du cadre de vie dont l'enfant des parties bénéficie depuis plus de quatre ans. Dès lors, c'est à juste titre que le premier juge a entériné la situation de fait en attribuant la garde de l'enfant à sa mère et en réservant au père un droit de visite. Cette solution est d'ailleurs préconisée par le SPMi. La décision querellée sera donc confirmée sur ce point.</w:t>
      </w:r>
    </w:p>
    <w:p>
      <w:r>
        <w:t>- 10/20 -</w:t>
      </w:r>
    </w:p>
    <w:p>
      <w:r>
        <w:t>C/21687/2015</w:t>
      </w:r>
    </w:p>
    <w:p>
      <w:r>
        <w:rPr>
          <w:b/>
        </w:rPr>
        <w:t>E. 4</w:t>
      </w:r>
    </w:p>
    <w:p>
      <w:r>
        <w:t>Les deux parties contestent la manière dont le premier juge a fixé la contribution à l'entretien de l'enfant et l'intimée reproche au Tribunal de ne pas avoir condamné son époux à lui verser une contribution à son propre entretien.</w:t>
      </w:r>
    </w:p>
    <w:p>
      <w:r>
        <w:t>Les procédures en cours à l'entrée en vigueur, le 1er janvier 2017, des modifications du Code civil relatives à l'obligation d'entretien à l'égard des enfants, sont régies par le nouveau droit (art. 13c bis al. 1 CC; art. 407b al. 1 CPC).</w:t>
      </w:r>
    </w:p>
    <w:p>
      <w:r>
        <w:t>L'obligation d'entretien envers un enfant mineur étant prioritaire par rapport aux autres obligations d'entretien du droit de la famille (art. 276a al. 1 CC), il convient de statuer en premier lieu sur cette question avant d'examiner si l'intimée peut prétendre à une contribution pour son propre entretien.</w:t>
      </w:r>
    </w:p>
    <w:p>
      <w:r>
        <w:rPr>
          <w:b/>
        </w:rPr>
        <w:t>E. 5.1</w:t>
      </w:r>
    </w:p>
    <w:p>
      <w:r>
        <w:t>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Les allocations familiales font toujours partie des revenus de l'enfant et viennent en sus de la contribution d'entretien lorsqu'elles sont versées à la personne tenue de pourvoir à l'entretien de l'enfant (art. 285a al. 1 CC). Pour fixer la contribution d'entretien, le juge doit en principe tenir compte du revenu effectif des parties. Toutefois, lorsqu'un parent ne fournit pas tous les efforts que l'on peut attendre de lui pour assumer son obligation d'entretien, le juge peut lui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w:t>
      </w:r>
    </w:p>
    <w:p>
      <w:r>
        <w:t>- 11/20 -</w:t>
      </w:r>
    </w:p>
    <w:p>
      <w:r>
        <w:t>C/21687/2015 En outre, on ne peut plus exiger d'un époux qu'il se réintègre professionnellement ou qu'il augmente son taux d'activité au-delà de 45 ans; cette règle n'est toutefois pas stricte et cette limite d'âge tend à être portée à 50 ans (ATF 137 III 102 consid. 4.2.2.2; arrêt du Tribunal fédéral 5A_4/2011 du 9 août 2011 consid. 4.1). En présence d'une situation financière modeste, les charges des parties se calculent en se fondant sur le minimum vital de base du droit des poursuites (art. 93 LP), élargi des dépenses incompressibles. Si les ressources du couple dépassent le minimum vital du droit des poursuites, on tient compte aussi des dépenses non strictement nécessaires, tels que les impôts et certaines primes d'assurances non obligatoires (RC privée, ménage, complémentaires d'assurance- maladie) et les versements qui constituent de l'épargne, ainsi les cotisations au 3ème pilier ou à une assurance-vie (CHAIX, Commentaire romand, Code civil I, n. 9 ad art. 176 CC; BASTONS BULLETTI, L'entretien après divorce: méthodes de calcul, montant, durée et limites, in: SJ 2007 II 77, p. 90 et 91). Il est nécessaire de répartir entre le parent gardien et les enfants le coût du logement, soit à raison de 20% d'un loyer raisonnable pour un enfant (BASTONS BULLETTI, op. cit., p. 102 note n. 140). Il y a lieu de déduire du minimum vital du parent auprès duquel l'enfant majeur vit, la participation de celui-ci aux charges communes, estimée de manière équitable, compte tenu des possibilités financières du majeur (ATF 132 III 209 consid. 2.3; 132 III 483 consid. 4; 129 III 55 consid. 3; arrêts du Tribunal fédéral 5A_845/2011 du 26 mars 2012 consid. 8.2 et 8.3; 5A_301/2011 du 1er décembre 2011 consid. 5.2 ; 5A_41/2008 du 13 novembre 2008 consid. 6; 5C.45/2006 du 15 mars 2006 consid. 3.6; BASTONS BULLETTI, op. cit., p. 88 et 89).</w:t>
      </w:r>
    </w:p>
    <w:p>
      <w:r>
        <w:rPr>
          <w:b/>
        </w:rPr>
        <w:t>E. 5.1.2</w:t>
      </w:r>
    </w:p>
    <w:p>
      <w:r>
        <w:t>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du Conseil fédéral, in FF 2014 p. 556).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431;</w:t>
      </w:r>
    </w:p>
    <w:p>
      <w:r>
        <w:t>- 12/20 -</w:t>
      </w:r>
    </w:p>
    <w:p>
      <w:r>
        <w:t>C/21687/2015 SPYCHER, Kindesunterhalt : Rechtliche Grundlagen und praktische Heraus- forderungen - heute und demnächst, in FamPra 2016, p. 30). 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w:t>
      </w:r>
    </w:p>
    <w:p>
      <w:r>
        <w:rPr>
          <w:b/>
        </w:rPr>
        <w:t>E. 5.1.3</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op. cit, p. 4; STOUDMANN, op. cit., p. 431). Que ce soit en termes de contribution à l'entretien du conjoint ou de contribution à l'entretien de l'enfant, l'intangibilité du minimum vital du débirentier demeure (Message, p. 541). 5.2.1 En l'espèce, les charges retenues par le Tribunal pour l'enfant ne sont pas critiquables. L'intimée persiste à réclamer qu'il soit tenu compte de frais de cantine, sans aucune critique à l'égard du raisonnement du premier juge et sans produire de pièce nouvelle. Or, l'enfant réside à moins d'un kilomètre de son école et la mère n'exerce pas d'activité lucrative, de sorte qu'il est en mesure de prendre tous ses repas à la maison. C'est également à juste titre que, conformément à la jurisprudence, le premier juge a mis à la charge de l'enfant une partie des frais de loyer de sa mère, dès lors que la garde est attribuée à celle-ci. Ainsi, les charges de l'enfant s'élèvent à 986 fr., allocations familiales déduites.</w:t>
      </w:r>
    </w:p>
    <w:p>
      <w:r>
        <w:t>- 13/20 -</w:t>
      </w:r>
    </w:p>
    <w:p>
      <w:r>
        <w:t>C/21687/2015 5.2.2 S'agissant des revenus de l'intimée, il importe peu, sur mesures provisionnelles, de savoir si c'est avec l'accord ou non de son époux qu'elle n'a jamais travaillé. Seule est pertinente la question de savoir si, à ce jour, l'intimée est en mesure de retrouver une activité lucrative. Comme l'intimée est actuellement âgée de 51 ans, dépourvue de formation et n'a jamais exercé d'activité lucrative en Suisse, il est peu probable qu'elle puisse, à court ou moyen terme, débuter une activité lucrative, de sorte que c'est à bon droit que le premier juge ne lui a imputé aucun revenu hypothétique sur mesures provisionnelles. Comme indiqué, c'est à juste titre que le Tribunal a réparti la charge de loyer entre la mère et l'enfant. Les autres charges de l'intimée ne sont pas remises en cause en appel (cf. ch. 1.3 supra). Au vu de ce qui précède, le déficit mensuel de l'intimée est de 3'131 fr. 5.2.3 Le revenu mensuel de l'appelant est composé d'un salaire fixe, d'une «part privée voiture de service», d'allocations familiales, voire de commissions et de gratifications ponctuelles. Le salaire mensuel net moyen perçu par l'appelant en 2016 était de 10'089 fr. [(128'629 fr. - 3'960 fr. de «part privée voiture de service» - 3'600 fr. d'allocations familiales)/12]. Il y a en effet lieu de déduire du salaire net annuel porté sur le certificat de salaire de l'appelant la «part privée voiture de service». Cette somme figure sur le certificat de salaire de l'employé lorsque son employeur met à sa disposition une voiture de service qui peut aussi être utilisée à titre privé – en plus de l'utilisation pour le trajet entre le domicile et le lieu de travail. Cela constitue une prestation fournie à titre onéreux à l'employé qui doit figurer dans son certificat de salaire (cf. Publication «Info TVA 08» disponible sur le site de l'Administration fédérale des contributions – www.estv.admin.ch/estv/fr/ho me/-mehrwertsteuer/fachinformationen/publikationen/mwstg-ab-2010/archiv-mws t-info.html#734199002) mais qui ne constitue pas un revenu en numéraire. Dès lors que l'appelant ne dispose pas de cet argent, il ne doit pas en être tenu compte dans ses revenus. Les allocations familiales doivent également être déduites, dès lors qu'elles sont comprises dans le salaire annuel brut figurant sur le certificat de salaire, alors qu'elles constituent un revenu de l'enfant. En revanche, l'appelant n'a pas rendu vraisemblable que les bonus qu'il percevra en 2017 seront inférieurs à ceux perçus en 2016 – les documents produits à cet égard sont peu lisibles et ne permettent pas d'établir la quotité des versements à venir – de sorte qu'il n'y a pas lieu, sur mesures provisionnelles, de faire abstraction de ces revenus supplémentaires que l'appelant a régulièrement perçus ces dernières années. L'appelant partage son appartement de quatre pièces avec son fils aîné, âgé de 27 ans. Ce dernier a achevé une première formation universitaire en 2014 et il n'a pas été rendu vraisemblable qu'il n'aurait pas été en mesure de trouver un emploi</w:t>
      </w:r>
    </w:p>
    <w:p>
      <w:r>
        <w:t>- 14/20 -</w:t>
      </w:r>
    </w:p>
    <w:p>
      <w:r>
        <w:t>C/21687/2015 correspondant à sa formation. Dès lors, il dispose d'une capacité de gain lui permettant de supporter la moitié des frais de location de l'appartement qu'il occupe avec son père. Par conséquent, seule la moitié du loyer sera comptabilisée dans les charges de l'appelant. Sur la base de la calculette d'impôts disponible sur le site Internet de l'administration fiscale cantonale genevoise, les impôts ICC et IFD de l'appelant peuvent être estimés à 1'000 fr. par mois, sur la base de 128'700 fr. de salaire net sous déduction de 4'800 fr. de primes d'assurance-maladie et de 56'400 fr. de contribution d'entretien (cf. infra). Son entretien de base sera arrêté à 1'200 fr., soit au montant de base mensuel prévu pour un débiteur célibataire, la communauté de vie formée par un parent et son enfant majeur ne justifiant pas une diminution de ce montant dès lors qu'il ne s'agit pas, à teneur de la jurisprudence, d'une communauté de vie durable (cf. ATF 132 III 483 consid. 4 = JdT 2007 II p. 78 et ss). Au vu de ce qui précède, les autres charges de l'appelant telles qu'arrêtées par le Tribunal n'étant pas contestées en appel (cf. ch. 1.3 supra), celles-ci s'élèvent mensuellement à 3'637 fr. 60 comprenant le loyer (937 fr. 50), la place de parking (90 fr.), les primes d'assurance-maladie de base et complémentaire (364 fr. 25 + 45 fr. 85), les acomptes d'impôts mensualisés (1'000 fr.) et l'entretien de base selon les normes OP (1'200 fr.). L'appelant dispose ainsi d'un solde mensuel de 6'451 fr. 40 (10'089 fr. – 3'637 fr. 60).</w:t>
      </w:r>
    </w:p>
    <w:p>
      <w:r>
        <w:rPr>
          <w:b/>
        </w:rPr>
        <w:t>E. 5.3</w:t>
      </w:r>
    </w:p>
    <w:p>
      <w:r>
        <w:t>Dans la mesure où le père bénéficie d'une situation financière plus favorable, c'est à bon droit que le Tribunal a condamné celui-ci à supporter la totalité des charges de C______. Celles-ci comprennent les frais effectifs de l'enfant – arrêtés à 986 fr. – ainsi que la participation à sa prise en charge. Dès lors que l'enfant est âgé de plus de dix ans mais de moins de seize ans, sa prise en charge par l'intimée ne saurait dépasser 50%. Il ressort du calculateur de salaire en ligne pour le canton de Genève (disponible sous http://cms2.unige.ch/ses/lea/oue/projet/salaires/ogmt/) qu'une personne ayant achevé sa scolarité obligatoire, née en 1966, sans fonction de cadre et sans année d'ancienneté, pour des activités simples et répétitives dans le domaine du nettoyage, avec un horaire hebdomadaire de 20 heures, est en mesure de réaliser un salaire médian brut de 1'640 fr., soit 1'430 fr. net environ. Par conséquent, la part des charges de l'intimée non couverte en raison de la prise en charge de l'enfant s'élève à 1'701 fr. (3'131 fr. – 1'430 fr.). Dès lors, la contribution à l'entretien de l'enfant sera arrêtée au montant arrondi de 2'700 fr. (986 fr. + 1'701 fr.).</w:t>
      </w:r>
    </w:p>
    <w:p>
      <w:r>
        <w:t>- 15/20 -</w:t>
      </w:r>
    </w:p>
    <w:p>
      <w:r>
        <w:t>C/21687/2015 Le versement de ces contributions d'entretien préserve le minimum vital de l'appelant qui disposera encore d'un solde mensuel de 3'751 fr. (6'451 fr. - 2'700 fr.).</w:t>
      </w:r>
    </w:p>
    <w:p>
      <w:r>
        <w:rPr>
          <w:b/>
        </w:rPr>
        <w:t>E. 6</w:t>
      </w:r>
    </w:p>
    <w:p>
      <w:r>
        <w:t>L'appelante reproche au Tribunal d'avoir fixé une contribution à son entretien ne lui permettant pas de maintenir son train de vie antérieur.</w:t>
      </w:r>
    </w:p>
    <w:p>
      <w:r>
        <w:rPr>
          <w:b/>
        </w:rPr>
        <w:t>E. 6.1</w:t>
      </w:r>
    </w:p>
    <w:p>
      <w:r>
        <w:t>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l'art. 163 CC demeurant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Le train de vie mené jusqu'à la cessation de la vie commune constitue la limite supérieure du droit à l'entretien (ATF 121 I 97 consid. 3b; 118 II 376 consid. 20b; arrêt du Tribunal fédéral 5A_776/2012 du 13 mars 2013 consid. 6.3.1). Il ne faut pas, par le biais de la contribution d'entretien, provoquer un déplacement de patrimoine qui anticiperait sur la liquidation du régime matrimonial (ATF 114 II 26 consid. 8).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w:t>
      </w:r>
    </w:p>
    <w:p>
      <w:r>
        <w:t>- 16/20 -</w:t>
      </w:r>
    </w:p>
    <w:p>
      <w:r>
        <w:t>C/21687/2015</w:t>
      </w:r>
    </w:p>
    <w:p>
      <w:r>
        <w:rPr>
          <w:b/>
        </w:rPr>
        <w:t>E. 6.2</w:t>
      </w:r>
    </w:p>
    <w:p>
      <w:r>
        <w:t>En l'espèce, compte tenu de la somme de 1'701 fr. comprise dans la contribution à l'entretien de l'enfant pour sa prise en charge, l'intimée subit encore un déficit mensuel de 1'430 fr. (3'131 fr. – 1'701 fr.) qu'il appartiendra à l'appelant de couvrir, dès lors que l'intimée n'est pas, en l'état, en mesure de couvrir elle- même, vu son âge, son absence de formation et d'expérience professionnelle (cf. supra ch. 5.2.2). A juste titre, le premier juge a considéré que l'intimée n'avait pas rendu vraisemblable que son train de vie pendant le mariage était supérieur à ses charges incompressibles. Cela étant, pendant les deux premières années de séparation, l'appelant a pris en charge les frais mensuels de son épouse et de l'enfant à raison de 4'715 fr., selon ses propres calculs. C'est donc qu'il estimait que ce montant leur était nécessaire pour maintenir leur train de vie. Dès lors, c'est une somme de 2'000 fr. (4'700 fr. de train de vie de la mère et de l'enfant – 2'700 fr. de contribution versée pour l'enfant) que l'appelant sera condamné à verser pour l'entretien de son épouse afin que celle-ci puisse couvrir totalement ses charges incompressibles et maintenir son train de vie antérieur. Après paiement de l'ensemble des contributions d'entretien, l'appelant disposera encore d'un solde mensuel de 1'751 fr. 50 (10'089 fr. - 3'637 fr. 60 – 2'700 fr. - 2'000 fr.).</w:t>
      </w:r>
    </w:p>
    <w:p>
      <w:r>
        <w:rPr>
          <w:b/>
        </w:rPr>
        <w:t>E. 7</w:t>
      </w:r>
    </w:p>
    <w:p>
      <w:r>
        <w:t>L'intimée sollicite que le dies a quo du versement des contributions d'entretien rétroagisse au jour du dépôt de la demande de mesures provisionnelles, soit au 21 octobre 2015.</w:t>
      </w:r>
    </w:p>
    <w:p>
      <w:r>
        <w:rPr>
          <w:b/>
        </w:rPr>
        <w:t>E. 7.1</w:t>
      </w:r>
    </w:p>
    <w:p>
      <w:r>
        <w:t>En cas d'urgence particulière, notamment s'il y a risque d'entrave à leur exécution, le tribunal peut ordonner des mesures provisionnelles immédiatement, sans entendre la partie adverse (art. 265 al. 1 CC). Si le juge rend de telles mesures, il doit ensuite rapidement entendre la partie adverse et statuer sans délai sur la requête de mesures provisionnelles proprement dites (cf. art. 265 al. 2 CPC). Il rend alors, après audition des parties, une décision sur mesures provisionnelles qui remplace la décision superprovisionnelle (arrêt du Tribunal fédéral 5A_554/2014 du 21 octobre 2014 consid. 3.2); le juge confirme, modifie ou révoque son prononcé (ATF 140 III 529 consid. 2.2.2 = JdT 2015 II 135; BOHNET, in Code de procédure civile commenté, BOHNET/HALDY/JEANDIN/SCHWEIZER/ TAPPY [éd.], 2011, n. 14 ad art. 265 CPC et n. 8 ad art. 268 CPC). La loi ne prévoit aucune voie de droit contre les décisions rendues sur mesures superprovisionnelles, raison pour la quelle la procédure provisionnelle doit être poursuivie rapidement devant l'autorité saisie afin d'obtenir le remplacement des</w:t>
      </w:r>
    </w:p>
    <w:p>
      <w:r>
        <w:t>- 17/20 -</w:t>
      </w:r>
    </w:p>
    <w:p>
      <w:r>
        <w:t>C/21687/2015 mesures superprovisionnelles par des mesures provisionnelles, qui peuvent faire l'objet d'un recours (ATF 137 III 417 consid. 1.2 – 1.4).</w:t>
      </w:r>
    </w:p>
    <w:p>
      <w:r>
        <w:rPr>
          <w:b/>
        </w:rPr>
        <w:t>E. 7.2</w:t>
      </w:r>
    </w:p>
    <w:p>
      <w:r>
        <w:t>En l'espèce, les charges incompressibles de l'enfant et de l'intimée s'élèvent à 4'117 fr. (986 fr. + 3'131 fr.), de sorte que la contribution de 4'100 fr. à laquelle l'appelant a été condamné sur mesures superprovisionnelles était suffisante à couvrir leurs charges. Certes, le Tribunal aurait dû convoquer les parties sans délai avant de rendre des mesures provisionnelles. Cela étant, l'intimée n'a pas rappelé au Tribunal qu'il y avait lieu de statuer sur les mesures provisionnelles requises en début de procédure. Il faut donc en déduire que le montant fixé par le premier juge sur mesures superprovisionnelles lui convenait. Au vu de ce qui précède, il n'y a pas lieu de faire rétroagir les mesures provisionnelles. Le dies a quo du versement des nouvelles contributions d'entretien sera fixé au 24 mars 2017, jour du prononcé de la décision de première instance sur mesures provisionnelles remplaçant les mesures superprovisionnelles.</w:t>
      </w:r>
    </w:p>
    <w:p>
      <w:r>
        <w:rPr>
          <w:b/>
        </w:rPr>
        <w:t>E. 8.1</w:t>
      </w:r>
    </w:p>
    <w:p>
      <w:r>
        <w:t>Si l'instance d'appel statue à nouveau, elle se prononce sur les frais de la première instance (art. 318 al. 3 CPC). Dès lors que ni la quotité ni la répartition des frais judiciaires et des dépens de première instance n'ont été valablement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8.2</w:t>
      </w:r>
    </w:p>
    <w:p>
      <w:r>
        <w:t>Les frais judiciaires d'appel seront fixés à 1'800 fr. (art. 31 et 37 RTFMC), y compris ceux relatifs à l'arrêt du 18 mai 2017, et mis à la charge des parties pour moitié chacune, compte tenu de la nature familiale et de l'issue du litige (art. 95 et 107 al. 1 let. c CPC). Ils seront compensés à hauteur de 900 fr. avec l'avance de frais de 1'000 fr. versée par l'appelant (art. 111 al. 1 CPC) qui demeure acquise à l'Etat de Genève. La somme de 100 fr. sera restituée à l'appelant. S'agissant de l'intimée, qui plaide au bénéfice de l'assistance juridique, la somme de 900 fr. mise à sa charge sera provisoirement supportée par l'Etat de Genève (art. 122 al. 1 let. b et 123 CPC; art. 19 du Règlement sur l'assistance juridique, RAJ - RS/GE E 2 05.04). Compte tenu de la nature familiale du litige, chaque partie supportera ses propres dépens d'appel (art. 107 al. 1 let. c CPC).</w:t>
      </w:r>
    </w:p>
    <w:p>
      <w:r>
        <w:rPr>
          <w:b/>
        </w:rPr>
        <w:t>E. 9</w:t>
      </w:r>
    </w:p>
    <w:p>
      <w:r>
        <w:t>L'arrêt de la Cour, statuant sur mesures provisionnelles dans la procédure en divorce, est susceptible d'un recours en matière civile, les moyens étant limités en application de l'art. 98 LTF.</w:t>
      </w:r>
    </w:p>
    <w:p>
      <w:r>
        <w:t>- 18/20 -</w:t>
      </w:r>
    </w:p>
    <w:p>
      <w:r>
        <w:t>C/21687/2015 Vu les conclusions pécuniaires restées litigieuses devant la Cour, la valeur litigieuse au sens de la LTF, est supérieure à 30'000 fr. (art. 51 al. 1 lit. a et al. 4 LTF et 74 al. 1 let. b LTF; arrêt du Tribunal fédéral 5A_720/2011 du 8 mars 2012 consid. 1 et 2.1). * * * * * *</w:t>
      </w:r>
    </w:p>
    <w:p>
      <w:r>
        <w:t>- 19/20 -</w:t>
      </w:r>
    </w:p>
    <w:p>
      <w:r>
        <w:t>C/21687/2015 PAR CES MOTIFS, La Chambre civile : A la forme : Déclare recevables les appels interjetés le 7 avril 2017 par A______ contre les chiffres 3, 4, 5 et 8 et par B______ contre le chiffre 5 du dispositif de l'ordonnance OTPI/142/2017 rendue le 24 mars 2017 par le Tribunal de première instance dans la cause C/21687/2015-2. Au fond : Annule les chiffres 5 et 8 du dispositif de ce jugement et, statuant à nouveau sur ces points : Condamne A______ à verser en mains de B______, par mois et d'avance, allocations familiales en sus, à compter du 24 mars 2017, la somme de 2'700 fr. au titre de contribution à l'entretien de leur fils C______. Condamne A______ à verser en mains de B______, par mois et d'avance, à compter du 24 mars 2017, la somme de 2'000 fr. au titre de contribution à son propre entretien. Confirme le jugement entrepris pour le surplus. Déboute les parties de toutes autres conclusions. Sur les frais : Arrête les frais judiciaires d'appel à 1'800 fr., les met à la charge des parties pour moitié chacune et les compense à hauteur de 900 fr. avec l'avance de frais fournie par A______, qui demeure acquise à l'Etat de Genève. Dit que les frais judiciaires d'appel incombant à B______, soit 900 fr., sont provisoirement supportés par l'Etat de Genève. Invite les Services financiers du Pouvoir judiciaire à restituer 100 fr. à A______. Dit que chaque partie supporte ses propres dépens d'appel. Siégeant : Monsieur Ivo BUETTI, président; Madame Sylvie DROIN, Madame Nathalie RAPP, juges; Madame Camille LESTEVEN, greffière. Le président : Ivo BUETTI</w:t>
      </w:r>
    </w:p>
    <w:p>
      <w:r>
        <w:t>La greffière : Camille LESTEVEN</w:t>
      </w:r>
    </w:p>
    <w:p>
      <w:r>
        <w:t>- 20/20 -</w:t>
      </w:r>
    </w:p>
    <w:p>
      <w:r>
        <w:t>C/21687/2015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