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ACJC/1399/2020 vom 11. Juni 2020</w:t>
      </w:r>
    </w:p>
    <w:p>
      <w:r>
        <w:t>GE Cour de justice, 2020-06-11, FR</w:t>
      </w:r>
    </w:p>
    <w:p>
      <w:r>
        <w:rPr>
          <w:b/>
        </w:rPr>
        <w:t xml:space="preserve">Quelle: </w:t>
      </w:r>
      <w:r>
        <w:t>https://mcp.opencaselaw.ch/entscheid/ge_gerichte_ACJC_1399_2020</w:t>
      </w:r>
    </w:p>
    <w:p>
      <w:r>
        <w:t>FR: GE_GERICHTE ACJC/1399/2020 du 11 juin 2020</w:t>
      </w:r>
    </w:p>
    <w:p>
      <w:r>
        <w:t>IT: GE_GERICHTE ACJC/1399/2020 del 11 giugno 2020</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En l'occurrence, l'intimé a indiqué une valeur litigieuse de 30'000 fr., non contestée par l'appelante.</w:t>
      </w:r>
    </w:p>
    <w:p>
      <w:r>
        <w:rPr>
          <w:b/>
        </w:rPr>
        <w:t>E. 1.1</w:t>
      </w:r>
    </w:p>
    <w:p>
      <w:r>
        <w:t>Le délai de recours est de 10 jours si la décision a été rendue en procédure sommaire (art. 314 al. 1 CPC) applicable aux cas clairs (art. 248 let. b CPC). Interjeté dans le délai précité et selon la forme prescrite (art. 311 CPC), l'appel est recevable.</w:t>
      </w:r>
    </w:p>
    <w:p>
      <w:r>
        <w:rPr>
          <w:b/>
        </w:rPr>
        <w:t>E. 2</w:t>
      </w:r>
    </w:p>
    <w:p>
      <w:r>
        <w:t>L'intimé conclut à l'irrecevabilité de la pièce nouvellement déposée par l'appelante, et implicitement des faits nouveaux qui la sous-tendent.</w:t>
      </w:r>
    </w:p>
    <w:p>
      <w:r>
        <w:rPr>
          <w:b/>
        </w:rPr>
        <w:t>E. 2.1</w:t>
      </w:r>
    </w:p>
    <w:p>
      <w:r>
        <w:t>La nature particulière de la procédure sommaire de protection des cas clairs de l'art. 257 CPC exige que l'autorité de recours apprécie les faits sur la base des preuves déjà appréciées par le premier juge. La production de pièces nouvelles est ainsi exclue, même si celles-ci pourraient être prises en considération, devant le juge d'appel, selon l'art. 317 al. 1 CPC (arrêts du Tribunal fédéral 4A_312/2013 du 17 octobre 2013 consid. 3.2; 4A_420/2012 du 7 novembre 2012 consid. 5).</w:t>
      </w:r>
    </w:p>
    <w:p>
      <w:r>
        <w:rPr>
          <w:b/>
        </w:rPr>
        <w:t>E. 2.2</w:t>
      </w:r>
    </w:p>
    <w:p>
      <w:r>
        <w:t>En l'occurrence, il n'est pas nécessaire de trancher la recevabilité de la pièce nouvelle, au vu des développements qui vont suivre,</w:t>
      </w:r>
    </w:p>
    <w:p>
      <w:r>
        <w:rPr>
          <w:b/>
        </w:rPr>
        <w:t>E. 3</w:t>
      </w:r>
    </w:p>
    <w:p>
      <w:r>
        <w:t>L'appelante reproche au Tribunal d'avoir considéré qu'elle n'avait pas contesté la radiation de la servitude RS 3______, alors qu'il résultait des pièces produites qu'elle avait notamment manifesté son opposition à celle-ci en ne restituant pas le local; au vu de ce qu'avait retenu le Tribunal à cet égard, elle s'était sentie "contrainte de formaliser [s]a contestation" en déposant une action en constatation de servitude.</w:t>
      </w:r>
    </w:p>
    <w:p>
      <w:r>
        <w:rPr>
          <w:b/>
        </w:rPr>
        <w:t>E. 3.1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w:t>
      </w:r>
    </w:p>
    <w:p>
      <w:r>
        <w:t>- 6/8 -</w:t>
      </w:r>
    </w:p>
    <w:p>
      <w:r>
        <w:t>C/6643/2020 est rapportée par la production de titres, conformément à l'art. 254 al. 1 CPC. La preuve n'est pas facilitée :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(ATF 138 III 123 consid. 2.1.2, 620 consid. 5.1.1, 728 consid. 3.3). En règle générale (cf. toutefois arrêt du Tribunal fédéral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 La référence à l'exercice d'un certain pouvoir d'appréciation ne permet cependant pas d'exclure l'existence d'un cas clair lorsque l'interdiction de l'abus de droit est invoquée. Une telle appréciation n'est en effet pas nécessaire en présence d'un comportement manifestement abusif, appartenant aux cas reconnus typiquement comme tels par la jurisprudence et la doctrine (arrêt du Tribunal fédéral 4A_350/2015 du 25 août 2015 consid. 4.2 et les références). Si le juge parvient à la conclusion que les conditions posées par l'art. 257 CPC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140 III 315 consid. 5).</w:t>
      </w:r>
    </w:p>
    <w:p>
      <w:r>
        <w:rPr>
          <w:b/>
        </w:rPr>
        <w:t>E. 3.2</w:t>
      </w:r>
    </w:p>
    <w:p>
      <w:r>
        <w:t>L'art. 937 al. 1 CC prévoit que, dans le cas d'immeubles immatriculés au registre foncier, la présomption du droit et les actions possessoires n'appartiennent qu'à la personne inscrite.</w:t>
      </w:r>
    </w:p>
    <w:p>
      <w:r>
        <w:t>Cette disposition établit la présomption que le droit inscrit au Registre foncier existe et qu'il a le titulaire et le contenu qui ressortent de l'inscription (STEINAUER, Les droits réels, t. I, 6ème éd., 2019 p. 352 n. 1220).</w:t>
      </w:r>
    </w:p>
    <w:p>
      <w:r>
        <w:t>L'inscription indue ne produit pas d'effets, sous réserve de la protection de l'acquéreur de bonne foi prévue à l'art. 973 al. 1 CC. Cela signifie que tout</w:t>
      </w:r>
    </w:p>
    <w:p>
      <w:r>
        <w:t>- 7/8 -</w:t>
      </w:r>
    </w:p>
    <w:p>
      <w:r>
        <w:t>C/6643/2020 intéressé peut tenir en échec la présomption de l'art. 937 al. 1 CC en apportant la preuve que l'inscription est indue (STEINAUER, op. cit, p. 360 n. 1256).</w:t>
      </w:r>
    </w:p>
    <w:p>
      <w:r>
        <w:t>Ces principes valent également, par analogie, pour les radiations d'inscription (STEINAUER, op. cit. p. 360 n. 1259).</w:t>
      </w:r>
    </w:p>
    <w:p>
      <w:r>
        <w:rPr>
          <w:b/>
        </w:rPr>
        <w:t>E. 3.3</w:t>
      </w:r>
    </w:p>
    <w:p>
      <w:r>
        <w:t>En l'espèce, il est constant que l'intimé est propriétaire de la parcelle n° 10______ susdécrite, laquelle comporte un local que l'appelante occupe, sans droit au vu de l'état actuel du Registre foncier. L'intimé soutient dans la présente procédure, sur la base de ces éléments, que tant la situation de fait que la situation juridique sont claires. A noter qu'il n'était manifestement pas aussi convaincu de la clarté des situations de fait et juridique du cas d'espèce quelques mois encore avant le dépôt de son action, ce dont témoigne son courrier du 12 décembre 2019, dans lequel il se disait désireux "d'enfin savoir" qui de l'appelante ou de lui-même était en droit d'occuper le local. Pour sa part, l'appelante fait valoir que l'inscription, respectivement la radiation, au Registre foncier des servitudes RS 3______ et RS 9______ seraient indues pour diverses raisons qu'elle esquisse, pièces à l'appui. Elle propose ainsi de tenir en échec la présomption des droits institués par l'art. 937 al. 1 CC, de façon motivée et concluante. Ses arguments ne peuvent pas être écartés immédiatement, et sont de nature à ébranler la conviction du juge. Les conditions de l'art. 257 CPC ne sont donc pas réalisées. Dès lors, la requête de l'intimé formée par la voie du cas clair est irrecevable, contrairement à ce qu'a retenu le premier juge. La décision attaquée sera ainsi annulée, et il sera statué à nouveau (art. 318 al. 1 let. b CPC) dans le sens de ce qui précède.</w:t>
      </w:r>
    </w:p>
    <w:p>
      <w:r>
        <w:rPr>
          <w:b/>
        </w:rPr>
        <w:t>E. 4</w:t>
      </w:r>
    </w:p>
    <w:p>
      <w:r>
        <w:t>L'intimé, qui succombe, supportera les frais de la procédure (art. 106 al. 1 CPC), arrêtés à 4'000 fr. (26, 85, 88, 90 RTFMC) pour les deux instances, et compensés avec les avances de frais déjà opérées, acquises à l'Etat de Genève. Il remboursera dès lors 2'000 fr. à l'appelante. L'appelante, qui comparaît en personne, a conclu à l'octroi de dépens d'appel, sans exposer en quoi ceux-ci se justifieraient, en particulier au vu de son acte d'appel rédigé sur une demi-page. Il ne sera dès lors pas fait droit à ses conclusions sur ce point (art. 95 al. 3 let. c CPC). * * * * *</w:t>
      </w:r>
    </w:p>
    <w:p>
      <w:r>
        <w:t>- 8/8 -</w:t>
      </w:r>
    </w:p>
    <w:p>
      <w:r>
        <w:t>C/6643/2020 PAR CES MOTIFS, La Chambre civile : A la forme : Déclare recevable l'appel interjeté le 26 juin 2020 par A______ contre le jugement JTPI/7354/2020 rendu le 11 juin 2020 par le Tribunal de première instance dans la cause C/6643/2020-13 SCC. Au fond : Annule ce jugement, et cela fait : Déclare irrecevable la requête formée par B______ le 26 mars 2020. Déboute les parties de toutes autres conclusions d'appel. Sur les frais de première instance et d'appel : Arrête les frais judiciaires à 4'000 fr., compensés avec les avances opérées, acquises à l'Etat de Genève. Les met à la charge de B______. Condamne B______ à verser 2'000 fr. à A______ en remboursement de ces frais. Dit qu'il n'est pas alloué de dépens.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