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ACJC/1397/2019 vom 28. Dezember 2016</w:t>
      </w:r>
    </w:p>
    <w:p>
      <w:r>
        <w:t>GE Cour de justice, 2016-12-28, FR</w:t>
      </w:r>
    </w:p>
    <w:p>
      <w:r>
        <w:rPr>
          <w:b/>
        </w:rPr>
        <w:t xml:space="preserve">Quelle: </w:t>
      </w:r>
      <w:r>
        <w:t>https://mcp.opencaselaw.ch/entscheid/ge_gerichte_ACJC_1397_2019</w:t>
      </w:r>
    </w:p>
    <w:p>
      <w:r>
        <w:t>FR: GE_GERICHTE ACJC/1397/2019 du 28 décembre 2016</w:t>
      </w:r>
    </w:p>
    <w:p>
      <w:r>
        <w:t>IT: GE_GERICHTE ACJC/1397/2019 del 28 dicembre 2016</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Les pièces nouvelles produites par la recourante sont en revanche irrecevables (art. 326 al. 1 CPC).</w:t>
      </w:r>
    </w:p>
    <w:p>
      <w:r>
        <w:rPr>
          <w:b/>
        </w:rPr>
        <w:t>E. 1.4</w:t>
      </w:r>
    </w:p>
    <w:p>
      <w:r>
        <w:t>Dans le cadre d'un recours, l'autorité a un plein pouvoir d'examen en droit, mais un pouvoir limité à l'arbitraire en fait (art. 320 CPC).</w:t>
      </w:r>
    </w:p>
    <w:p>
      <w:r>
        <w:rPr>
          <w:b/>
        </w:rPr>
        <w:t>E. 2</w:t>
      </w:r>
    </w:p>
    <w:p>
      <w:r>
        <w:t>La recourante invoque que sa décision du 28 décembre 2016 n'a pas fait l'objet d'une opposition de sorte qu'elle est exécutoire et constitue un titre de mainlevée.</w:t>
      </w:r>
    </w:p>
    <w:p>
      <w:r>
        <w:rPr>
          <w:b/>
        </w:rPr>
        <w:t>E. 2.1.1</w:t>
      </w:r>
    </w:p>
    <w:p>
      <w:r>
        <w:t>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w:t>
      </w:r>
    </w:p>
    <w:p>
      <w:r>
        <w:t>- 4/6 -</w:t>
      </w:r>
    </w:p>
    <w:p>
      <w:r>
        <w:t>C/1511/2019 définitive de l'opposition, à moins que l'opposant ne prouve par titre que la dette a été éteinte ou qu'il a obtenu un sursis, postérieurement au jugement, ou qu'il ne se prévale de la prescription (art. 81 al. 1 LP).</w:t>
      </w:r>
    </w:p>
    <w:p>
      <w:r>
        <w:rPr>
          <w:b/>
        </w:rPr>
        <w:t>E. 2.1.2</w:t>
      </w:r>
    </w:p>
    <w:p>
      <w:r>
        <w:t>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w:t>
      </w:r>
    </w:p>
    <w:p>
      <w:r>
        <w:t>L'art. 54 al. 2 LPGA précise que les décisions et les décisions sur opposition exécutoires qui portent condamnation à payer une somme d'argent ou à fournir des sûretés sont assimilées aux jugements exécutoires au sens de l'art. 80 LP.</w:t>
      </w:r>
    </w:p>
    <w:p>
      <w:r>
        <w:rPr>
          <w:b/>
        </w:rPr>
        <w:t>E. 2.1.3</w:t>
      </w:r>
    </w:p>
    <w:p>
      <w:r>
        <w:t>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w:t>
      </w:r>
    </w:p>
    <w:p>
      <w:r>
        <w:rPr>
          <w:b/>
        </w:rPr>
        <w:t>E. 2.2</w:t>
      </w:r>
    </w:p>
    <w:p>
      <w:r>
        <w:t>En l'espèce, l'intimée, qui n'a pas comparu dans la présente procédure bien que dûment convoquée, n'a pas allégué qu'elle avait contesté la décision du 28 décembre 2016 sur laquelle se fonde le commandement de payer et produit devant le Tribunal. Elle n'a pas davantage contesté - ne serait-ce qu'à réception du commandement de payer - avoir reçu ladite décision. En l'absence d'allégation à cet égard ainsi que d'un quelconque élément permettant de mettre en doute le caractère exécutoire de cette décision, il doit être considéré que celle-ci l'est.</w:t>
      </w:r>
    </w:p>
    <w:p>
      <w:r>
        <w:t>Par conséquent, la décision du 28 décembre 2016, portant condamnation de l'intimée à payer une somme d'argent, doit être assimilée à un jugement au sens de l'art. 80 LP et vaut titre de mainlevée définitive, contrairement à ce qu'a retenu le Tribunal, sans autre explication.</w:t>
      </w:r>
    </w:p>
    <w:p>
      <w:r>
        <w:t>Pour le surplus, l'intimée ne conteste ni la quotité du montant réclamé, ni les intérêts moratoires, ni n'allègue que la dette serait éteinte. Le recours est ainsi fondé. Le jugement attaqué sera annulé et il sera statué à nouveau (art. 327 al. 3 let. b CPC).</w:t>
      </w:r>
    </w:p>
    <w:p>
      <w:r>
        <w:t>La mainlevée définitive de l'opposition au commandement de payer sera prononcée à concurrence du montant de 4'274 fr. 10 figurant dans le commandement de payer, avec intérêts à 5% dès le 20 février 2018, de 100 fr. et</w:t>
      </w:r>
    </w:p>
    <w:p>
      <w:r>
        <w:t>- 5/6 -</w:t>
      </w:r>
    </w:p>
    <w:p>
      <w:r>
        <w:t>C/1511/2019 de 530 fr. 75 à titre d'intérêts moratoire à 5% l'an, conformes au taux fixé à l'art. 42 al. 2 RAVS. En revanche, la mainlevée ne sera pas accordée pour le montant de 73 fr. 30 à titre de frais du commandement de payer. Il est en effet rappelé que lesdits frais suivent le sort de la poursuite (art. 68 al. 1 LP), de sorte qu'ils ne font pas l'objet de la mainlevée d'opposition.</w:t>
      </w:r>
    </w:p>
    <w:p>
      <w:r>
        <w:rPr>
          <w:b/>
        </w:rPr>
        <w:t>E. 3</w:t>
      </w:r>
    </w:p>
    <w:p>
      <w:r>
        <w:t>Vu l'issue du litige, l'intimée, qui succombe (art. 106 al. 1 CPC), supportera les frais judiciaires de première instance, arrêtés à 200 fr., et de recours, arrêtés à 300 fr. (art. 48 et 61 OELP), qui seront compensés avec les avances fournies par la recourante, qui restent acquises à l'Etat de Genève. L'intimée sera donc condamnée à verser à la recourante le montant total de 500 fr. à titre de frais judiciaires. Il ne sera pas alloué de dépens à la recourante qui comparaît en personne et n'a pas expliqué quelles démarches elle aurait effectuées excédant celles qui pouvaient être exigées de sa part dans le cadre de son activité (cf. art. 95 al. 3 let. c CPC). * * * * *</w:t>
      </w:r>
    </w:p>
    <w:p>
      <w:r>
        <w:t>- 6/6 -</w:t>
      </w:r>
    </w:p>
    <w:p>
      <w:r>
        <w:t>C/1511/2019 PAR CES MOTIFS, La Chambre civile : A la forme : Déclare recevable le recours interjeté par A______ contre le jugement JTPI/7255/2019 rendu le 17 mai 2019 par le Tribunal de première instance dans la cause C/1511/2019-3 SML. Au fond : Admet ce recours et annule le jugement attaqué. Cela fait, statuant à nouveau : Prononce la mainlevée définitive de l'opposition formée au commandement de payer, poursuite n° 1______, à concurrence de 4'274 fr. 10, avec intérêts à 5% dès le 20 février 2018, de 100 fr. et de 530 fr. 75. Sur les frais : Arrête les frais judiciaires de première instance à 200 fr. et les frais judiciaires de recours à 300 fr., les met à la charge de B______ Sàrl et les compense avec les avances fournies, qui restent acquise à l'Etat de Genève. Condamne B______ Sàrl à verser 500 fr. à A______ à titre de frais judicaires.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