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ACJC/1391/2005 vom 24. November 2005</w:t>
      </w:r>
    </w:p>
    <w:p>
      <w:r>
        <w:t>GE Cour de justice, 2005-11-24, FR</w:t>
      </w:r>
    </w:p>
    <w:p>
      <w:r>
        <w:rPr>
          <w:b/>
        </w:rPr>
        <w:t xml:space="preserve">Quelle: </w:t>
      </w:r>
      <w:r>
        <w:t>https://mcp.opencaselaw.ch/entscheid/ge_gerichte_ACJC_1391_2005</w:t>
      </w:r>
    </w:p>
    <w:p>
      <w:r>
        <w:t>FR: GE_GERICHTE ACJC/1391/2005 du 24 novembre 2005</w:t>
      </w:r>
    </w:p>
    <w:p>
      <w:r>
        <w:t>IT: GE_GERICHTE ACJC/1391/2005 del 24 novembre 2005</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Néanmoins, le juge de la mainlevée doit vérifier d'office si la requête est fondée sur un titre de mainlevée valable, et ce, même en cas de défaut du débiteur (SJ 1984 p. 389).</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w:t>
      </w:r>
    </w:p>
    <w:p>
      <w:r>
        <w:rPr>
          <w:b/>
        </w:rPr>
        <w:t>E. 2</w:t>
      </w:r>
    </w:p>
    <w:p>
      <w:r>
        <w:t>L’appelante invoque une violation de l’art. 82 al. 1 LP, dans la mesure où le rapprochement des pièces produits vaudrait – selon elle – titre de mainlevée provisoire d’opposition.</w:t>
      </w:r>
    </w:p>
    <w:p>
      <w:r>
        <w:t>- 4/6 -</w:t>
      </w:r>
    </w:p>
    <w:p>
      <w:r>
        <w:t>C/9873/2005</w:t>
      </w:r>
    </w:p>
    <w:p>
      <w:r>
        <w:rPr>
          <w:b/>
        </w:rPr>
        <w:t>E. 2.1</w:t>
      </w:r>
    </w:p>
    <w:p>
      <w:r>
        <w:t>Aux termes de l’art. 82 al. 2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122 III 125 consid. 2). Les deux éléments essentiels de la reconnaissance de dette sont l’indication de la somme reconnue et la signature du débiteur (ACJC du 20.10.1972, in SJ 1980 p. 578). Par ailleurs, le contrat de vente ordinaire constitue une reconnaissance de dette pour le prix de vente échu, pour autant que le vendeur ait livré la chose vendue ou l’ait consignée, lorsque le prix était payable d’avance ou au comptant (GILLIERON, Commentaire de la loi fédérale sur la poursuite pour dettes et la faillite, Lausanne 1999, n. 46 ad art. 82 LP; PANCHAUD/CAPREZ, La mainlevée d’opposition, 2ème édition, Zurich 1980 § 71).</w:t>
      </w:r>
    </w:p>
    <w:p>
      <w:r>
        <w:rPr>
          <w:b/>
        </w:rPr>
        <w:t>E. 2.2</w:t>
      </w:r>
    </w:p>
    <w:p>
      <w:r>
        <w:t>En l’espèce, l’appelante ne conteste pas que les bulletins de livraison – qui seuls comportent la signature de l’intimée – n’indiquent aucun prix d’achat. A la suivre cependant, la concordance entre les indications techniques des bulletins de livraison et celles des factures ainsi que la concomitance entre la livraison et l’établissement desdites factures constitueraient un faisceau d’indices : dès lors, refuser d’en déduire une reconnaissance de dette relèverait de l’arbitraire. En outre, les factures ne constitueraient qu’un titre annexe aux bulletins de livraison, de sorte que la signature de ceux-ci entraînerait la reconnaissance du montant contenu dans celles-là. En tant qu’elle remet en cause l’état de fait établi par le premier juge sans indiquer précisément en quoi celui-ci aurait commis arbitraire, cette argumentation est irrecevable. Au surplus, il convient de rappeler que le juge de la mainlevée statue au seul vu des pièces qui lui sont soumises («Urkundenprozess» : SJ 1980 p. 382) : dès lors qu’il constate que seuls les bulletins de livraison portent une signature du débiteur, on ne peut affirmer que le débiteur avait connaissance des montants facturés au moment de cette signature. S’il est certain que ce débiteur avait conscience que la marchandise livrée ne l’était pas à titre gratuit, cela ne permet pas de retenir qu’il reconnaissait par sa signature sur le bulletin de livraison que le montant figurant dans la facture était dû. En argumentant de la sorte, l’appelante paraît confondre la procédure sommaire de mainlevée d’opposition et la procédure ordinaire en paiement.</w:t>
      </w:r>
    </w:p>
    <w:p>
      <w:r>
        <w:rPr>
          <w:b/>
        </w:rPr>
        <w:t>E. 2.3</w:t>
      </w:r>
    </w:p>
    <w:p>
      <w:r>
        <w:t>Contrairement à ce que soutient l’appelante, les différents contrats de vente passés entre le vendeur et l’intimée ne valent pas en eux-mêmes reconnaissance</w:t>
      </w:r>
    </w:p>
    <w:p>
      <w:r>
        <w:t>- 5/6 -</w:t>
      </w:r>
    </w:p>
    <w:p>
      <w:r>
        <w:t>C/9873/2005 de dette. Là encore, la précision du prix fait défaut et, de surcroît, les parties n’avaient pas convenu d’une exigibilité immédiate du prix de vente. Par conséquent, pour autant qu’ils sont recevables, les griefs de l’appelante sont infondés. Cela conduit au rejet de l’appel.</w:t>
      </w:r>
    </w:p>
    <w:p>
      <w:r>
        <w:rPr>
          <w:b/>
        </w:rPr>
        <w:t>E. 3</w:t>
      </w:r>
    </w:p>
    <w:p>
      <w:r>
        <w:t>Vu l’issue de la procédure, l’appelante supportera les dépens d’appel, à savoir l’émolument de mise au rôle, qui reste acquis à l’Etat (art. 61 al. 1 et 48 ss OELP). En outre, elle versera à sa partie adverse, cette dernière l’ayant sollicité, une indemnité équitable à titre de dépens (art. 62 al. 1 OELP). * * * * *</w:t>
      </w:r>
    </w:p>
    <w:p>
      <w:r>
        <w:t>- 6/6 -</w:t>
      </w:r>
    </w:p>
    <w:p>
      <w:r>
        <w:t>C/9873/2005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