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ACJC/138/2022 vom 31. Januar 2022</w:t>
      </w:r>
    </w:p>
    <w:p>
      <w:r>
        <w:t>GE Cour de justice, 2022-01-31, FR</w:t>
      </w:r>
    </w:p>
    <w:p>
      <w:r>
        <w:rPr>
          <w:b/>
        </w:rPr>
        <w:t xml:space="preserve">Quelle: </w:t>
      </w:r>
      <w:r>
        <w:t>https://mcp.opencaselaw.ch/entscheid/ge_gerichte_ACJC_138_2022</w:t>
      </w:r>
    </w:p>
    <w:p>
      <w:r>
        <w:t>FR: GE_GERICHTE ACJC/138/2022 du 31 janvier 2022</w:t>
      </w:r>
    </w:p>
    <w:p>
      <w:r>
        <w:t>IT: GE_GERICHTE ACJC/138/2022 del 31 gennaio 2022</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et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La locataire a contesté en l'espèce la résiliation du bail, de sorte que la valeur litigieuse est supérieure à 10'000 fr. au vu du montant du loyer. La voie de l'appel est dès lors ouverte contre la décision d'évacuation, alors que celle du recours l'est contre la décision d'exécution de ladite évacuation.</w:t>
      </w:r>
    </w:p>
    <w:p>
      <w:r>
        <w:t>- 5/11 -</w:t>
      </w:r>
    </w:p>
    <w:p>
      <w:r>
        <w:t>C/14065/2021</w:t>
      </w:r>
    </w:p>
    <w:p>
      <w:r>
        <w:rPr>
          <w:b/>
        </w:rPr>
        <w:t>E. 1.2</w:t>
      </w:r>
    </w:p>
    <w:p>
      <w:r>
        <w:t>L'appel et le recours ont été interjetés dans le délai et suivant la forme prescrits par la loi (art. 130, 131, 311 al. 1 CPC). Ils sont ainsi recevables. Dirigés contre le même jugement, ils seront traités dans le même arrêt. Pour des motifs de simplification, la locataire sera désignée comme "l'appelante".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Le recours peut être formé quant à lui pour violation du droit et constatation manifestement inexacte des faits (art. 320 CPC).</w:t>
      </w:r>
    </w:p>
    <w:p>
      <w:r>
        <w:rPr>
          <w:b/>
        </w:rPr>
        <w:t>E. 2</w:t>
      </w:r>
    </w:p>
    <w:p>
      <w:r>
        <w:t>Le Tribunal a considéré que les conditions du cas clair étaient réalisées. Lorsque le congé avait été donné, l'appelante était en retard dans le paiement de son loyer. Le congé était valable, indépendamment de la question de l'impact de la pandémie sur l'activité de l'appelante et sur le paiement du loyer, car son commerce n'avait pas été fermé sur ordre des autorités et les retards de paiement remontaient à 2019, soit avant la pandémie. Même à supposer que les loyers payés en 2020 soient venus combler les loyers impayés en 2019, ce qui n'était pas établi, l'on ne pouvait envisager d'impossibilité au sens de l'art. 119 CO ni de disproportion manifeste des intérêts en présence puisque le commerce n'avait pas été contraint de fermer ses portes. Depuis l'expiration du terme fixé, l'appelante ne disposait plus d'un titre juridique l'autorisant à occuper les locaux loués, de sorte que son évacuation devait être ordonnée. L'appelante fait valoir que le cas n'est pas clair. La sandwicherie qu'elle exploite n'avait pas été fermée en raison du COVID-19 mais son chiffre d'affaires avait chuté en raison de la fermeture de C______. La fermeture générale des établissements ordonnée dans le cadre de la crise sanitaire liée à la pandémie de COVID-19 constituait un changement important et imprévisible des circonstances qui pouvait laisser une place à une réadaptation du contrat par le juge dans le sens de la clausula rebus sic stantibus. L'intimée s'était montrée "intraitable" et abusait de son droit en résiliant le bail, ce d'autant plus que la cause s'inscrivait dans un contexte procédural complexe, puisque le bail avait déjà été résilié à deux reprises quelques temps auparavant. Le Tribunal n'avait pas traité les griefs qu'elle avait soulevés et avait violé son droit d'être entendue.</w:t>
      </w:r>
    </w:p>
    <w:p>
      <w:r>
        <w:t>- 6/11 -</w:t>
      </w:r>
    </w:p>
    <w:p>
      <w:r>
        <w:t>C/14065/2021</w:t>
      </w:r>
    </w:p>
    <w:p>
      <w:r>
        <w:rPr>
          <w:b/>
        </w:rPr>
        <w:t>E. 2.1.1</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5A_598/2012 du 4 décembre 2012 consid. 3.1).</w:t>
      </w:r>
    </w:p>
    <w:p>
      <w:r>
        <w:rPr>
          <w:b/>
        </w:rPr>
        <w:t>E. 2.1.2</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des faits justifiant sa prétention; la simple vraisemblance ne suffit pas. Si le défendeur fait valoir des objections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p. 126, 620 consid. 5.1.1 p. 621, 728 consid. 3.3 p. 734).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w:t>
      </w:r>
    </w:p>
    <w:p>
      <w:r>
        <w:t>- 7/11 -</w:t>
      </w:r>
    </w:p>
    <w:p>
      <w:r>
        <w:t>C/14065/2021 (ATF 141 III 23 consid. 3.2 p. 26; 138 III 123 consid. 2.1.2 p. 126; arrêt du Tribunal fédéral 4A_273/2012 du 30 octobre 2012 consid. 5.1.2, non publié in ATF 138 III 620).</w:t>
      </w:r>
    </w:p>
    <w:p>
      <w:r>
        <w:rPr>
          <w:b/>
        </w:rPr>
        <w:t>E. 2.1.3</w:t>
      </w:r>
    </w:p>
    <w:p>
      <w:r>
        <w:t>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Si le cas est clair, afin d'obtenir rapidement l'évacuation forcée des locaux loués, le bailleur peut mettre en œuvre la procédure sommaire prévue par l'art. 257 CPC alors même que le locataire a éventuellement introduit une action en annulation du congé sur la base des art. 271, 271a et 273 CO; la litispendance n'est alors pas opposable au bailleur (ATF 141 III 262 consid. 3 p. 263). Selon la jurisprudence, la résiliation fondée sur l'art. 257d al. 2 CO n'est contraire aux règles de la bonne foi, et donc annulable sur la base de l'art. 271 al. 1 CO, que dans des circonstances particulières. L'annulation entre en considération lorsque le bailleur a réclamé au locataire, avec menace de résiliation du bail, une somme largement supérieure à celle en souffrance, alors qu'il n'était pas certain du montant effectivement dû (ATF 120 II 31 consid. 4b p. 33).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du Tribunal fédéral 4A_472/2008 du 26 janvier 2009 consid. 5.3.1, RtiD 2009 II 681; 4C.430/2004 du 8 février 2005 consid. 3.1, SJ 2005 I p. 310/311).</w:t>
      </w:r>
    </w:p>
    <w:p>
      <w:r>
        <w:rPr>
          <w:b/>
        </w:rPr>
        <w:t>E. 2.1.4</w:t>
      </w:r>
    </w:p>
    <w:p>
      <w:r>
        <w:t>Selon la règle pacta sunt servanda, les termes du contrat doivent en principe être respectés. Une exception à la règle est la clausula rebus sic stantibus, fondée par le Tribunal fédéral sur l'art. 2 CC et par la doctrine sur la compétence du juge de combler les lacunes. Selon la clausula, une adaptation du contrat peut entrer en ligne de compte lorsque les circonstances dans lesquelles il a été conclu se sont modifiées à tel point que le maintien du contrat ne saurait être exigé. Il peut s'agir de rapports contractuels de longue durée au cours desquels les circonstances de fait ou les conditions juridiques ont subi des transformations profondes. Selon le Tribunal fédéral, une intervention du juge dans un contrat doit rester exceptionnelle : "Une intervention du juge dans le contrat entre en ligne de</w:t>
      </w:r>
    </w:p>
    <w:p>
      <w:r>
        <w:t>- 8/11 -</w:t>
      </w:r>
    </w:p>
    <w:p>
      <w:r>
        <w:t>C/14065/2021 compte seulement exceptionnellement, à savoir, si, par des circonstances postérieures et imprévisibles, il s'est produit une disproportion si évidente entre la prestation et la contre-prestation, que l'insistance d'une partie sur sa prétention paraît abusive" (WINIGER, Commentaire romand, n. 193-194 art. 18 CO).</w:t>
      </w:r>
    </w:p>
    <w:p>
      <w:r>
        <w:rPr>
          <w:b/>
        </w:rPr>
        <w:t>E. 2.2</w:t>
      </w:r>
    </w:p>
    <w:p>
      <w:r>
        <w:t>En l'espèce, le Tribunal n'a pas violé le droit d'être entendue de l'appelante car, contrairement à ce que celle-ci soutient, il a examiné la question de l'application de la clausula rebus sic stantibus, qu'il a résolue par la négative en raison du fait qu'il n'y avait pas de disproportion manifeste des intérêts en présence, puisque le commerce de l'appelante n'avait pas été contraint de fermer ses portes en raison de la pandémie. Le Tribunal n'avait par ailleurs pas à examiner la question de savoir si l'intimée commettait un abus de droit, puisque l'appelante n'a pas soulevé cet argument en première instance.</w:t>
      </w:r>
    </w:p>
    <w:p>
      <w:r>
        <w:t>Sur le fond, c'est à juste titre que le Tribunal a considéré qu'il n'y avait pas lieu d'appliquer en l'espèce le principe de la clausula rebus sic stantibus, lequel est d'application exceptionnelle. Aucun élément du dossier ne permet de retenir que le maintien du contrat de bail ne pouvait pas être exigé ou qu'il existe une disproportion évidente entre la prestation de l'intimée, consistant en la mise à disposition des locaux, et celle de l'appelante, consistant dans le paiement du loyer. L'appelante ne plaide d'ailleurs pas l'annulation du contrat, puisqu'elle souhaite se maintenir dans les locaux.</w:t>
      </w:r>
    </w:p>
    <w:p>
      <w:r>
        <w:t>A cela s'ajoute que l'appelante ne conteste pas que les arriérés de loyer existaient avant le début de la pandémie. Elle n'allègue en particulier pas que C______ aurait été fermée pour des raisons liées au COVID-19 dès décembre 2019. En outre, aucune pièce du dossier n'atteste du fait que le chiffre d'affaires de l'appelante aurait chuté ni, a fortiori, des raisons d'une telle baisse. Il convient à cet égard de relever que les locaux litigieux sont destinés à du stockage dans le cadre d'une activité de commerce de spécialités gastronomiques et service traiteur. L'appelante ne prétend pas que ce type d'activité a fait l'objet d'une interdiction en lien avec le COVID-19. A supposer que l'appelante n'ait plus eu la possibilité de compter sur la clientèle des spectateurs de C______, elle pouvait offrir ses services à d'autres clients. Il n'y a pas non plus lieu de retenir que l'intimée aurait abusé de son droit de réclamer le paiement du loyer convenu. Rien ne l'obligeait à accepter de conclure un arrangement avec l'appelante. Le fait que le bail ait également été résilié par l'intimée pour justes motifs n'est quant à lui pas pertinent pour trancher la question qui est litigieuse dans le cadre de la présente procédure.</w:t>
      </w:r>
    </w:p>
    <w:p>
      <w:r>
        <w:t>- 9/11 -</w:t>
      </w:r>
    </w:p>
    <w:p>
      <w:r>
        <w:t>C/14065/2021 Il résulte de ce qui précède que le Tribunal a considéré à bon droit que la résiliation du bail était valable et que l'évacuation de l'appelante devait être ordonnée.</w:t>
      </w:r>
    </w:p>
    <w:p>
      <w:r>
        <w:rPr>
          <w:b/>
        </w:rPr>
        <w:t>E. 3</w:t>
      </w:r>
    </w:p>
    <w:p>
      <w:r>
        <w:t>Le Tribunal a octroyé à l'appelante un délai de 30 jours dès l'entrée en force du jugement pour lui permettre d'organiser son départ, relevant que l'arriéré de loyer était faible, voire nul.</w:t>
      </w:r>
    </w:p>
    <w:p>
      <w:r>
        <w:t>L'appelante conclut à ce que ce délai soit prolongé "tant que subsiste la pandémie COVID-19" ou au moins pour un an dès l'entrée en force de la décision. Elle fait valoir qu'elle occupe les locaux depuis 2015 et que le délai octroyé ne lui laisse pas suffisamment de temps "pour procéder à une relocation et mettre le nouveau local aux normes sanitaires en procédant aux travaux et transformations que cela implique". Elle n'avait de plus "pas pu jouir du local durant les périodes de fermetures obligatoires ordonnées par les pouvoirs publics".</w:t>
      </w:r>
    </w:p>
    <w:p>
      <w:r>
        <w:rPr>
          <w:b/>
        </w:rPr>
        <w:t>E. 3.1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w:t>
      </w:r>
    </w:p>
    <w:p>
      <w:r>
        <w:rPr>
          <w:b/>
        </w:rPr>
        <w:t>E. 3.2</w:t>
      </w:r>
    </w:p>
    <w:p>
      <w:r>
        <w:t>En l'espèce, le sursis à l'exécution du jugement de 30 jours fixé par le Tribunal est approprié, étant précisé que, du fait de la procédure d'appel, la locataire a déjà obtenu dès facto une prolongation de ce délai.</w:t>
      </w:r>
    </w:p>
    <w:p>
      <w:r>
        <w:t>Les délais requis par l'appelante sont largement excessifs au vu des exigences de la jurisprudence et équivaudraient à une prolongation de bail. L'appelante ne fait état d'aucune recherche de nouveau local et, s'agissant d'un simple dépôt, rien ne permet de retenir que des transformations seraient nécessaires. Son activité n'a de plus pas fait l'objet d'une interdiction de la part des autorités, de sorte que cet argument ne convainc pas.</w:t>
      </w:r>
    </w:p>
    <w:p>
      <w:r>
        <w:t>Il résulte de ce qui précède que le jugement querellé sera entièrement confirmé.</w:t>
      </w:r>
    </w:p>
    <w:p>
      <w:r>
        <w:t>- 10/11 -</w:t>
      </w:r>
    </w:p>
    <w:p>
      <w:r>
        <w:t>C/14065/2021</w:t>
      </w:r>
    </w:p>
    <w:p>
      <w:r>
        <w:rPr>
          <w:b/>
        </w:rPr>
        <w:t>E. 4</w:t>
      </w:r>
    </w:p>
    <w:p>
      <w:r>
        <w:t>A teneur de l'art. 22 al. 1 LaCC, il n'est pas prélevé de frais dans les causes soumises à la juridiction des baux et loyers. * * * * *</w:t>
      </w:r>
    </w:p>
    <w:p>
      <w:r>
        <w:t>- 11/11 -</w:t>
      </w:r>
    </w:p>
    <w:p>
      <w:r>
        <w:t>C/14065/2021 PAR CES MOTIFS, La Chambre des baux et loyers : A la forme : Déclare recevables l'appel et le recours interjetés le 30 septembre 2021 par A______ SARL contre le jugement JTBL/772/2021 rendu le 2 septembre 2021 par le Tribunal des baux et loyers dans la cause C/14065/2021-8-SE. Au fond : Confirme le jugement querellé.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