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ACJC/138/2018 vom 5. Februar 2018</w:t>
      </w:r>
    </w:p>
    <w:p>
      <w:r>
        <w:t>GE Cour de justice, 2018-02-05, FR</w:t>
      </w:r>
    </w:p>
    <w:p>
      <w:r>
        <w:rPr>
          <w:b/>
        </w:rPr>
        <w:t xml:space="preserve">Quelle: </w:t>
      </w:r>
      <w:r>
        <w:t>https://mcp.opencaselaw.ch/entscheid/ge_gerichte_ACJC_138_2018</w:t>
      </w:r>
    </w:p>
    <w:p>
      <w:r>
        <w:t>FR: GE_GERICHTE ACJC/138/2018 du 5 février 2018</w:t>
      </w:r>
    </w:p>
    <w:p>
      <w:r>
        <w:t>IT: GE_GERICHTE ACJC/138/2018 del 5 febbraio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- 5/8 -</w:t>
      </w:r>
    </w:p>
    <w:p>
      <w:r>
        <w:t>C/21034/2016</w:t>
      </w:r>
    </w:p>
    <w:p>
      <w:r>
        <w:t>Au vu des prétentions de l'intimé, qui s'élevaient en dernier lieu devant l'autorité inférieure à 19'656 fr., la voie de l'appel est ouverte.</w:t>
      </w:r>
    </w:p>
    <w:p>
      <w:r>
        <w:rPr>
          <w:b/>
        </w:rPr>
        <w:t>E. 1.2</w:t>
      </w:r>
    </w:p>
    <w:p>
      <w:r>
        <w:t>Interjeté dans le délai prescrit et dans la forme requise par la loi (art. 311 al. 1 CPC), l'appel est recevable.</w:t>
      </w:r>
    </w:p>
    <w:p>
      <w:r>
        <w:rPr>
          <w:b/>
        </w:rPr>
        <w:t>E. 1.3</w:t>
      </w:r>
    </w:p>
    <w:p>
      <w:r>
        <w:t>La Cour revoit la cause avec un plein pouvoir d'examen tant en fait qu'en droit (art. 310 CPC).</w:t>
      </w:r>
    </w:p>
    <w:p>
      <w:r>
        <w:rPr>
          <w:b/>
        </w:rPr>
        <w:t>E. 2</w:t>
      </w:r>
    </w:p>
    <w:p>
      <w:r>
        <w:t>L'appelant sollicite l'audition de C______, qui s'occupait de son dossier au sein de la régie en charge de la gestion de l'immeuble dans lequel se trouve l'appartement loué. Il soutient que C______ avait promis qu'aucune poursuite ne serait intentée contre lui. Elle avait agi au nom et pour le compte de B______ et avait passé un accord avec son frère. Cet engagement n'avait pas été respecté par B______, engagé par la régie. Cet élément démontrait très clairement selon l'appelant que le montant réclamé n'était pas dû par lui. Le témoignage de C______ était par conséquent crucial.</w:t>
      </w:r>
    </w:p>
    <w:p>
      <w:r>
        <w:rPr>
          <w:b/>
        </w:rPr>
        <w:t>E. 2.1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L'autorité d'appel peut rejeter la requête de réouverture de la procédure probatoire et d'administration d'un moyen de preuve déterminé présentée par l'appelant si celui-ci n'a pas suffisamment motivé sa critique de la constatation de fait retenue par la décision attaquée, si la preuve n'a pas été régulièrement offerte, dans les formes et les délais prévus par le droit de procédure, ou si elle ne porte pas sur un fait pertinent pour l'appréciation juridique de la cause (ATF 133 III 189 consid. 5.2.2; 129 III 18 consid. 2.6 et les références);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arrêt du Tribunal fédéral 5A_86/2016 du</w:t>
      </w:r>
    </w:p>
    <w:p>
      <w:r>
        <w:rPr>
          <w:b/>
        </w:rPr>
        <w:t>E. 2.2</w:t>
      </w:r>
    </w:p>
    <w:p>
      <w:r>
        <w:t>En l'espèce, l'appelant allègue qu'un accord consistant à ne pas exiger qu'il paie la dette de loyer aurait été passé par C______ avec son frère. N'étant pas partie audit accord, on ne voit pas, en l'absence d'explication à cet égard, quel bénéfice il pourrait tirer de ce supposé accord conclu entre tiers. L'appelant ne</w:t>
      </w:r>
    </w:p>
    <w:p>
      <w:r>
        <w:t>- 6/8 -</w:t>
      </w:r>
    </w:p>
    <w:p>
      <w:r>
        <w:t>C/21034/2016 fournit par ailleurs aucun élément permettant de considérer que C______ avait un quelconque pouvoir pour engager la régie, et ainsi, le cas échéant, l'intimé, par un accord qui aurait porté sur une promesse de ne pas poursuivre l'appelant. Il paraît enfin particulièrement inhabituel et ainsi peu vraisemblable que l'employée d'une régie immobilière promette à un locataire qu'il ne sera pas poursuivi pour ses dettes de loyer. Il n'apparaît dès lors pas que l'audition de C______ pourrait amener le moindre élément utile pour l'issue du litige. Il ne sera donc pas donné suite à la conclusion préalable de l'appelant réclamant ladite audition. 3. L'appelant soutient que l'intimé a indument tardé à résilier le bail en attendant quatre mois après sa première mise en demeure du 15 août 2014, puis à réclamer l'évacuation, ce qui avait contribué à augmenter son dommage, lequel devrait être réduit en application de l'art. 44 CO.</w:t>
      </w:r>
    </w:p>
    <w:p>
      <w:r>
        <w:t>3.1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30 jours au moins (al. 1). Faute de paiement dans le délai fixé, le bailleur peut résilier le contrat avec effet immédiat; les baux d'habitations et de locaux commerciaux peuvent être résiliés moyennant un délai de congé minimum de 30 jours pour la fin d'un mois (al. 2).</w:t>
      </w:r>
    </w:p>
    <w:p>
      <w:r>
        <w:t>Une fois le délai comminatoire échu, le bailleur n'est pas obligé de résilier le bail et s'il attend, il n'est pas réputé avoir renoncé à donner le congé; il peut également fixer un nouveau délai (WESSNER in Droit du bail à loyer et à ferme, Bohnet et al., éd., 2ème éd., 2016, n. 30 ad art. 257d CO; Commentaire SVIT - Le droit suisse du bail à loyer, 2011, n. 33 ad art. 257d CO; LACHAT, Le bail à loyer, 2008, n. 27.2.3 p. 669; HIGI, Zürcher Kommentar, art. 253-265 OR, 1994, n. 29 et n. 45 ad art. 257d CO). Seule une résiliation qui interviendrait de nombreux mois après l'expiration du délai comminatoire pourrait, selon les circonstances, être considérées comme abusive (WESSNER, op. cit., n. 31 ad art. 257d CO; LACHAT, ibid.).</w:t>
      </w:r>
    </w:p>
    <w:p>
      <w:r>
        <w:t>A la fin du bail, le locataire doit restituer la chose dans l'état qui résulte d'un usage conforme au contrat (art. 267 al. 1 CO). Si le locataire ne restitue pas la chose louée et reste dans les locaux alors que le bail a pris fin, il doit payer au bailleur une indemnité pour l'occupation des locaux, laquelle équivaut en principe au montant du loyer convenu (ATF 131 III 257 consid. 2 et 2.1; 119 II 437 consid. 3b/bb).</w:t>
      </w:r>
    </w:p>
    <w:p>
      <w:r>
        <w:t>3.2 En l'espèce, l'intimé n'était tenu par aucun délai pour résilier le bail de l'appelant à la suite de l'avis comminatoire qu'il lui avait envoyé. Le simple fait</w:t>
      </w:r>
    </w:p>
    <w:p>
      <w:r>
        <w:t>- 7/8 -</w:t>
      </w:r>
    </w:p>
    <w:p>
      <w:r>
        <w:t>C/21034/2016 qu'il n'ait pas résilié le bail immédiatement après l'expiration du délai qu'il avait imparti en application de l'art. 257d CO n'est pas déterminant. La résiliation du 15 décembre 2014 est intervenue environ un mois après l'expiration du délai de trente jours imparti par avis du 27 octobre 2014 et environ trois mois après l'expiration du premier délai fixé par avis du 15 août 2014. De tels délais ne sauraient rendre le congé abusif, ce que l'appelant ne soutient d'ailleurs pas, ni constituer un motif de réduction de la somme à laquelle l'intimé peut prétendre. L'appelant ne peut par ailleurs pas raisonnablement reprocher à l'intimé de ne pas avoir requis plut tôt l'exécution forcée d'une obligation qu'il lui revenait à lui, en premier lieu, d'exécuter volontairement, à savoir évacuer l'appartement litigieux après la fin du contrat de bail. Même si l'appelant n'occupait pas lui-même ledit appartement, il lui appartenait néanmoins de s'acquitter de ses obligations découlant du bail dont il était titulaire. Si l'appelant voulait éviter de devoir s'acquitter d'indemnités pour occupation illicite des locaux, il lui était loisible de prendre des mesures pour restituer sans délai l'appartement après l'expiration du bail. Il ne peut être considéré, en tout état de cause, que l'intimé a indûment attendu en requérant, le 2 mars 2015, l'évacuation de l'appelant alors que le bail est venu à échéance le 31 janvier 2015. Au vu de ce qui précède, les motifs invoqués ne justifient pas la diminution du montant réclamé par l'intimé. Le jugement attaqué sera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- 8/8 -</w:t>
      </w:r>
    </w:p>
    <w:p>
      <w:r>
        <w:t>C/21034/2016 PAR CES MOTIFS, La Chambre des baux et loyers : A la forme : Déclare recevable l'appel interjeté le 23 août 2017 par A______ contre le jugement JTBL/594/2017 rendu le 15 juin 2017 par le Tribunal des baux et loyers dans la cause C/21034/2016. Au fond : Confirme ce jugement. Dit que la procédure est gratuite. Déboute les parties de toutes autres conclusions. Siégeant : Madame Nathalie LANDRY-BARTHE, présidente; Madame Sylvie DROIN, Monsieur Laurent RIEBEN, juges; Monsieur Pierre STASTNY, Monsieur Serge PATEK,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5</w:t>
      </w:r>
    </w:p>
    <w:p>
      <w:r>
        <w:t>septembre 2016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