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ACJC/1387/2014 vom 9. Oktober 2014</w:t>
      </w:r>
    </w:p>
    <w:p>
      <w:r>
        <w:t>GE Cour de justice, 2014-10-09, FR</w:t>
      </w:r>
    </w:p>
    <w:p>
      <w:r>
        <w:rPr>
          <w:b/>
        </w:rPr>
        <w:t xml:space="preserve">Quelle: </w:t>
      </w:r>
      <w:r>
        <w:t>https://mcp.opencaselaw.ch/entscheid/ge_gerichte_ACJC_1387_2014</w:t>
      </w:r>
    </w:p>
    <w:p>
      <w:r>
        <w:t>FR: GE_GERICHTE ACJC/1387/2014 du 9 octobre 2014</w:t>
      </w:r>
    </w:p>
    <w:p>
      <w:r>
        <w:t>IT: GE_GERICHTE ACJC/1387/2014 del 9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t>C/18772/2014 - 3/6 -</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C/18772/2014 - 4/6 -</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produite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w:t>
      </w:r>
    </w:p>
    <w:p>
      <w:r>
        <w:t>C/18772/2014 - 5/6 -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à Genève. Elle ne fournit toutefois aucun élément recevable permettant de rendre vraisemblable cette allégation, ce que le premier juge a retenu à bon droit.</w:t>
      </w:r>
    </w:p>
    <w:p>
      <w:r>
        <w:t>La recourante ne rend ainsi pas vraisemblable l'existence de biens en Suisse appartenant au débiteur.</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C/18772/2014 - 6/6 - PAR CES MOTIFS, La Chambre civile : A la forme : Déclare recevable le recours interjeté le 15 octobre 2014 par A______ contre l'ordonnance SQ/483/2014 rendue le 9 octobre 2014 par le Tribunal de première instance dans la cause C/18772/2014-19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