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ACJC/1386/2024 vom 7. November 2024</w:t>
      </w:r>
    </w:p>
    <w:p>
      <w:r>
        <w:t>GE Cour de justice, 2024-11-07, FR</w:t>
      </w:r>
    </w:p>
    <w:p>
      <w:r>
        <w:rPr>
          <w:b/>
        </w:rPr>
        <w:t xml:space="preserve">Quelle: </w:t>
      </w:r>
      <w:r>
        <w:t>https://mcp.opencaselaw.ch/entscheid/ge_gerichte_ACJC_1386_2024</w:t>
      </w:r>
    </w:p>
    <w:p>
      <w:r>
        <w:t>FR: GE_GERICHTE ACJC/1386/2024 du 7 novembre 2024</w:t>
      </w:r>
    </w:p>
    <w:p>
      <w:r>
        <w:t>IT: GE_GERICHTE ACJC/1386/2024 del 7 novembre 2024</w:t>
      </w:r>
    </w:p>
    <w:p>
      <w:pPr>
        <w:pStyle w:val="Heading2"/>
      </w:pPr>
      <w:r>
        <w:t>Erwägungen</w:t>
      </w:r>
    </w:p>
    <w:p>
      <w:r>
        <w:rPr>
          <w:b/>
        </w:rPr>
        <w:t>E. 1.1</w:t>
      </w:r>
    </w:p>
    <w:p>
      <w:r>
        <w:t>Interjeté dans le délai utile de trente jours et suivant la forme prescrite par la loi (art. 130, 131, 142, 145 al. 1 let. b et 311 al. 1 CPC), à l'encontre d'une décision finale au sens de l'art. 308 al. 1 let. a CPC, statuant dans une affaire patrimoniale dont la valeur litigieuse est supérieure à 10'000 fr., l'appel est recevable, malgré les difficultés de compréhension de celui-ci, en raison des très nombreux points de suspension, der passages mis en évidence et de l'utilisation d'un français suranné. Les écritures subséquentes des parties, déposées dans les délais légaux, respectivement impartis à cet effet ou encore dans un délai de réplique spontanée raisonnable et avant que la cause ne soit gardée à juger, sont recevables (art. 316 al. 2 CPC; sur le droit à la réplique spontanée : cf. ATF 146 III 97 consid. 3.4.1).</w:t>
      </w:r>
    </w:p>
    <w:p>
      <w:r>
        <w:rPr>
          <w:b/>
        </w:rPr>
        <w:t>E. 1.2</w:t>
      </w:r>
    </w:p>
    <w:p>
      <w:r>
        <w:t>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w:t>
      </w:r>
    </w:p>
    <w:p>
      <w:r>
        <w:t>- 9/16 -</w:t>
      </w:r>
    </w:p>
    <w:p>
      <w:r>
        <w:t>C/11940/2022 qu'en reprenant la démarche du premier juge et en mettant le doigt sur les failles de son raisonnement. A défaut, son recours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w:t>
      </w:r>
    </w:p>
    <w:p>
      <w:r>
        <w:rPr>
          <w:b/>
        </w:rPr>
        <w:t>E. 1.3</w:t>
      </w:r>
    </w:p>
    <w:p>
      <w:r>
        <w:t>La procédure simplifiée régit les affaires patrimoniales dont la valeur litigieuse ne dépasse pas 30'000 fr., comme en l'espèce (art. 243 al. 1 CPC). La maxime des débats prévaut, en règle générale, sauf dans les hypothèses prévues à l'art. 247 al. 2 CPC (maxime inquisitoire sociale),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(arrêt du Tribunal fédéral 5A_211/2017 du 24 juillet 2017 consid. 3.1.3.2 et les références). Le devoir d'interpellation du juge ne doit toutefois pas servir à réparer des négligences procédurales (arrêt du Tribunal fédéral 4D_57/2013 du</w:t>
      </w:r>
    </w:p>
    <w:p>
      <w:r>
        <w:rPr>
          <w:b/>
        </w:rPr>
        <w:t>E. 1.4</w:t>
      </w:r>
    </w:p>
    <w:p>
      <w:r>
        <w:t>Les conclusions préalables de l'appelant, tendant à la suspension de la présente procédure jusqu'à l'entrée en force du jugement rendu le 9 février 2024 par le Tribunal, sont devenues sans objet, aucun recours n'ayant été formé contre la décision précitée. 1.5.1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1.5.2 En l'espèce, la pièce nouvelle produite par l'appelant a été établie après que la cause ait été gardée à juger par le Tribunal. Elle est dès lors recevable.</w:t>
      </w:r>
    </w:p>
    <w:p>
      <w:r>
        <w:rPr>
          <w:b/>
        </w:rPr>
        <w:t>E. 2</w:t>
      </w:r>
    </w:p>
    <w:p>
      <w:r>
        <w:t>L'appelant reproche au Tribunal d'avoir à tort refusé de prononcer la mainlevée définitive de l'opposition formée au commandement de payer par l'intimé, en retenant que la poursuite en cause n'avait pas été produite. A bien le comprendre, il fait également grief au premier juge de ne pas avoir réservé ses droits en vue d'une action ultérieure.</w:t>
      </w:r>
    </w:p>
    <w:p>
      <w:r>
        <w:rPr>
          <w:b/>
        </w:rPr>
        <w:t>E. 2.1</w:t>
      </w:r>
    </w:p>
    <w:p>
      <w:r>
        <w:t>Une prétention divisible est susceptible d'une action partielle (art. 86 CPC).</w:t>
      </w:r>
    </w:p>
    <w:p>
      <w:r>
        <w:t>- 10/16 -</w:t>
      </w:r>
    </w:p>
    <w:p>
      <w:r>
        <w:t>C/11940/2022 Il y a action partielle au sens propre lorsque le demandeur ne fait valoir qu'une partie de sa prétention, alors que celle-ci est entièrement exigible et qu'elle repose sur un fondement unique. Il y a action partielle au sens impropre soit lorsque la demande porte sur l'une seule de plusieurs prétentions qui reposent sur un même fondement juridique mais dont l'exigibilité diverge, si bien que le demandeur limite sa demande aux seules prétentions alors exigibles, soit lorsque le demandeur dispose de plusieurs prétentions tirées du même rapport juridique, mais dont les fondements (en fait ou en droit) divergent (BOHNET, CR CPC, 2019, n. 8 et 9 ad art. 86 CPC). On parle d'une action partielle "ouverte" lorsque le demandeur, p.ex. en formulant une réserve quant à l'invocation d'autres prétentions, exprime clairement que ses conclusions n'épuisent pas toutes ses prétentions résultant de l'état de fait; si tel n'est pas le cas, il y a action partielle "cachée" (OBERHAMMER, Kurzkommentar ZPO, 2014, n. 2 ad art. 86 CPC). En cas d'action partielle, la litispendance ne vaut que pour l'objet de la demande; le demandeur peut déposer une nouvelle demande portant sur une autre partie ou le reste de sa créance (BOHNET, op. cit., n. 12 ad art. 86 CPC). En effet, le jugement rendu sur une action partielle n'a de force de chose jugée que pour la part de la créance qui a fait l'objet du jugement, même si pour en juger, l'ensemble de la prétention a été examiné (ATF 125 III 8 consid. 3b, SJ 1999 I 273; arrêts du Tribunal fédéral 4A_401/2011 du 18 janvier 2012 consid. 4; 4A_209/2007 du</w:t>
      </w:r>
    </w:p>
    <w:p>
      <w:r>
        <w:rPr>
          <w:b/>
        </w:rPr>
        <w:t>E. 2.2</w:t>
      </w:r>
    </w:p>
    <w:p>
      <w:r>
        <w:t>Selon l'art. 79 al. 1 LP, le créancier à la poursuite duquel il est fait opposition agit par la voie de la procédure civile pour faire reconnaitre son droit. Il ne peut requérir la continuation de la poursuite qu'en se fondant sur une décision exécutoire qui écarte expressément l'opposition. L’action en reconnaissance de dette est l’action ordinaire de droit matériel, privé ou public, applicable à la créance déduite en poursuite. Malgré son intitulé, la procédure n’aboutit pas à une décision constatatoire mais condamnatoire, qui statue définitivement sur l’existence de la créance (ABBET, La mainlevée de l'opposition, Commentaire des art. 79 à 84 LP, 2017, n. 1 ad art. 79 LP).</w:t>
      </w:r>
    </w:p>
    <w:p>
      <w:r>
        <w:t>- 11/16 -</w:t>
      </w:r>
    </w:p>
    <w:p>
      <w:r>
        <w:t>C/11940/2022 En plus de la condamnation au paiement ou à la fourniture de sûretés, la décision a également des effets de droit des poursuites dans la mesure où elle annule l’opposition (art. 80 ou 82 LP; ABBET, op. cit., n. 2 ad art. 79 LP). Selon l'art. 80 al. 1 LP, le créancier qui est au bénéfice d'un jugement exécutoire peut requérir du juge la mainlevée définitive de l'opposition.</w:t>
      </w:r>
    </w:p>
    <w:p>
      <w:r>
        <w:rPr>
          <w:b/>
        </w:rPr>
        <w:t>E. 2.3</w:t>
      </w:r>
    </w:p>
    <w:p>
      <w:r>
        <w:t>En l'espèce, l'action en paiement intentée par l'appelant est une action en reconnaissance de dette qu'il a formée afin de faire reconnaître son droit au paiement des sommes de EUR 10'000.-, EUR 13'000.-, et EUR 2'300.-, avec intérêts, à titre de remboursement du contrat de prêt et de la commission convenue dans celui-ci. C'est à tort que le Tribunal a retenu que l'appelant n'avait pas produit le commandement de payer en cause. En effet, cette poursuite a été versée par l'appelant à la procédure. Dans la mesure où l'appelant a obtenu gain de cause, le Tribunal devait lever l'opposition formée au commandement de payer par l'intimé. L'intimé soutient pour la première fois en appel que l'appelant aurait modifié ses conclusions lors de l'introduction de la demande en paiement au Tribunal. Dans la mesure où l'intimé ne s'est pas prévalu, devant le Tribunal, de cette prétendue modification, ce grief ne sera pas examiné par la Cour, l'intimé étant forclos à s'en prévaloir.</w:t>
      </w:r>
    </w:p>
    <w:p>
      <w:r>
        <w:rPr>
          <w:b/>
        </w:rPr>
        <w:t>E. 2.4</w:t>
      </w:r>
    </w:p>
    <w:p>
      <w:r>
        <w:t>Par conséquent, le jugement entrepris sera complété en ce sens que la mainlevée définitive de l'opposition formée au commandement de payer, poursuite n° 1______, sera prononcée, pour les postes n ° 1 à 3. Il n'y a pas lieu de prononcer la mainlevée pour le poste n° 4 (facture d'électricité) qui ne fait pas l'objet de la présente procédure.</w:t>
      </w:r>
    </w:p>
    <w:p>
      <w:r>
        <w:rPr>
          <w:b/>
        </w:rPr>
        <w:t>E. 2.5</w:t>
      </w:r>
    </w:p>
    <w:p>
      <w:r>
        <w:t>L'appelant sollicite que la Cour réserve ses prétentions futures, en lien avec la dépréciation de l'euro par rapport au franc suisse. Dans ses écritures, l'appelant a clairement indiqué que les montants requis en paiement dans la présente procédure ne portaient pas sur cette dépréciation et qu'il pourrait déposer une nouvelle demande, en lien avec celle-ci. Conformément aux principes rappelés supra, il s'agit d'une action partielle "ouverte". La Cour n'a pas à la constater dans la présente décision, l'appelant pouvant saisir le Tribunal d'une nouvelle demande sur cette question, s'il s'y estime fondé. 3. L'appelant reproche au Tribunal de ne pas lui avoir octroyé de dépens de première instance. 3.1 Si l’instance d’appel statue à nouveau, elle se prononce sur les frais de la première instance (art. 318 al. 3 CPC). En vertu de l'art. 95 al. 1 CPC, les frais comprennent les frais judiciaires (let. a) et les dépens (let. b). Selon l'art. 95 al. 3 CPC, les dépens comprennent les débours</w:t>
      </w:r>
    </w:p>
    <w:p>
      <w:r>
        <w:t>- 12/16 -</w:t>
      </w:r>
    </w:p>
    <w:p>
      <w:r>
        <w:t>C/11940/2022 nécessaires (let. a) et le défraiement d'un représentant professionnel (let. b) ou, lorsqu'une partie n'a pas de représentant professionnel, une indemnité équitable pour les démarches effectuées, dans les cas où cela se justifie (let. c). Dans une affaire où une indemnité avait été requise par un plaideur victorieux, qui conduisait le procès en son propre nom, pour les frais de son assistance par son frère, conseiller juridique, le Tribunal fédéral a jugé que les frais de l’assistance fournie par des tiers n’étaient pas remboursables lorsque cette assistance ne constituait pas une représentation professionnelle. Dès lors que le frère du plaideur n’était pas avocat, il n’était pas autorisé à la représentation professionnelle au sens de l’art. 68 al. 2 let. a CPC. Si ses frais étaient néanmoins indemnisés par le biais d’une indemnité pour les démarches effectuées, on contournerait la règlementation selon laquelle seuls les avocats sont autorisés à représenter les parties à titre professionnel et que seuls leurs frais doivent être remboursés à titre de dépens (arrêt du Tribunal fédéral 4A_233/2017 du 28 septembre 2017 consid. 4.5 traduit et commenté par BASTONS BULLETTI, in Newsletter CPC Online du 16 novembre 2017). Ainsi, les montants versés par la partie gagnante à une personne autre qu’un représentant professionnel autorisé au sens de l’art. 68 al. 2 let. a à d CPC ne peuvent pas être indemnisés au titre de dépens selon l’art. 95 al. 3 CPC : la let. a de cette disposition ne vise pas la rémunération versée à un tiers pour des prestations du genre de celles visées par la let. b; la let. b ne concerne que le défraiement d’un représentant autorisé selon l’art. 68 al. 2 CPC; la let. c ne vise que la perte personnellement subie par le plaideur non représenté (cf. note de BASTONS BULLETTI, in Newsletter CPC Online précitée).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 353 consid. 6b). Le Tribunal fédéral a par ailleurs jugé que dans le cas d’une partie (en l’occurrence une assurance) procédant par l'intermédiaire d'une avocate employée par elle, il était admissible, en présence de motifs qui le justifiaient selon l'art. 95 al. 3 let. c CPC, de lui octroyer une indemnité équitable pour ses démarches (arrêt du Tribunal fédéral 4A_192/2016 du 22 juin 2016 consid. 8.2). En application de cette jurisprudence, la Cour a alloué à une partie qui avait comparu en personne une indemnité de dépens pour les démarches effectuées et les frais de conseil engagés pour la rédaction de ses écritures d'appel, car il ne faisait aucun doute que cette partie avait fait appel à un conseil juridique pour leur rédaction (ACJC/697/2020 du 8 mai 2020 consid. 7.2).</w:t>
      </w:r>
    </w:p>
    <w:p>
      <w:r>
        <w:t>- 13/16 -</w:t>
      </w:r>
    </w:p>
    <w:p>
      <w:r>
        <w:t>C/11940/2022 3.2 En l’espèce, ni la quotité ni la répartition des frais judiciaires de première instance ne sont remis en cause en appel, de sorte qu’ils seront confirmés. L’appelant reproche en revanche au Tribunal de ne pas lui avoir alloué de dépens. Devant le premier juge, l’appelant, qui plaidait en personne, bénéficiait de conseils juridiques prodigués par un tiers, titulaire du brevet d’avocat, domicilié au Japon. Il avait dès lors conclu au paiement de dépens, en invoquant notamment la perte de gain causée par le procès ainsi que la rémunération versée à son conseiller. Il résulte cependant de la jurisprudence citée ci-dessus que la partie succombante ne peut pas être condamnée à indemniser celle qui obtient gain de cause pour la rémunération qu’elle a versée à un conseiller juridique qui ne la représente pas à titre professionnel dans le procès. La circonstance que la Cour ait, dans une précédente affaire mentionnée ci-dessus et invoquée par l’appelant, accordé une indemnité équitable à un plaideur victorieux qui agissait en personne n’est pas de nature à remettre en cause les principes dégagés par le Tribunal fédéral dans l’arrêt 4A_233/2017 précité, ce d’autant plus que l’état de fait de la décision cantonale ne permet pas de savoir si les conseils juridiques avaient été fournis par une personne employée par le plaideur en question (en l’occurrence une société), tel que cela fut le cas dans l’arrêt 4A_192/2016 (dans lequel l’activité déployée et indemnisée était assimilée aux propres démarches du plaideur). Par ailleurs, l'appelant ne peut se prévaloir de l'arrêt ACJC/697/2020 du</w:t>
      </w:r>
    </w:p>
    <w:p>
      <w:r>
        <w:rPr>
          <w:b/>
        </w:rPr>
        <w:t>E. 5</w:t>
      </w:r>
    </w:p>
    <w:p>
      <w:r>
        <w:t>septembre 2007 consid. 2.2.2, note TREZZINI in RSPC 2008, 353). Quelle que soit l'issue de la procédure touchant une action partielle improprement dite, l'autorité de la chose jugée du jugement définitif rendu au sujet de cette action ne s'étend qu'à la partie de la créance réclamée dans le cadre de celle-ci, et non à la totalité de la créance. C'est dire que, même si l'action partielle venait à être rejetée, rien n'empêcherait le demandeur d'introduire une nouvelle demande pour y faire valoir les autres postes du dommage, auquel cas l'autorité de jugement appelée à connaître de cette demande résiduelle ne serait pas liée par le sort réservé à l'action partielle (arrêt du Tribunal fédéral 4A_13/2017 du 26 janvier 2017 consid. 2.3).</w:t>
      </w:r>
    </w:p>
    <w:p>
      <w:r>
        <w:rPr>
          <w:b/>
        </w:rPr>
        <w:t>E. 8</w:t>
      </w:r>
    </w:p>
    <w:p>
      <w:r>
        <w:t>mai 2020. En effet, dans cette affaire, la partie qui plaidait en personne avait manifestement fait appel à un conseil juridique, alors qu'en l'espèce, l'appelant tente d'obtenir des dépens en lien avec l'activité déployée par un tiers qui n'est pas autorisé à représenter les parties en justice. Il sera, de plus, souligné que l'acte d'appel préparé par ce tiers, de même que la réplique, sont difficilement intelligibles et lisibles, et inutilement longs, pour les motifs évoqués supra, de sorte qu'en toute hypothèse, il ne se justifierait pas d'accorder d'indemnité à ce titre. Pour le surplus, les démarches liées au procès accomplies par l'appelant n'ont pas pris une ampleur telle qu'elles dépasseraient les procédés administratifs courants que tout un chacun doit accomplir sans être indemnisé, comme c'est le cas d'un artisan qui cherche à recouvrer ses créances. Il en résulte que les circonstances du cas d'espèce ne justifient pas qu'une indemnité soit allouée à celui-ci pour les frais qu'il soutient avoir engagés en première instance. Le jugement entrepris sera dès lors confirmé sur ce point. 3.3 Les frais judiciaires d’appel seront fixés à 2’000 fr. (art. 17 et 35 RTFMC). Ils seront mis à la charge des parties pour moitié chacune, l'appelant succombant</w:t>
      </w:r>
    </w:p>
    <w:p>
      <w:r>
        <w:t>- 14/16 -</w:t>
      </w:r>
    </w:p>
    <w:p>
      <w:r>
        <w:t>C/11940/2022 dans ses conclusions préalables et sur la réserve de ses droits, et l'intimé quant au prononcé de la mainlevée (art. 95 et 106 al. 2 CPC). Ils seront compensés avec l’avance de frais de même montant versée par l’appelant, qui reste acquise à l’Etat de Genève (art. 111 al. 1 CPC). L’intimé sera ainsi condamné à rembourser le montant de 1’000 fr. à l’appelant. Ce dernier, qui a agi en personne devant la Cour, conclut à l'octroi d'une indemnité de 4'000 fr. "à tout le moins" pour les démarches effectuées et les frais de conseil engagés pour la rédaction de ses écritures d'appel. Il ne lui sera toutefois pas alloué de dépens, puisque l’activité qu’il a déployée pour la défense de ses intérêts en seconde instance ne lui a pas occasionné de frais susceptibles d’indemnisation. * * * * *</w:t>
      </w:r>
    </w:p>
    <w:p>
      <w:r>
        <w:t>- 15/16 -</w:t>
      </w:r>
    </w:p>
    <w:p>
      <w:r>
        <w:t>C/11940/2022 PAR CES MOTIFS, La Chambre civile : A la forme : Déclare recevable l'appel interjeté le 22 février 2024 par A______ contre le jugement JTPI/1393/2024 rendu le 26 janvier 2024 par le Tribunal de première instance dans la cause C/11940/2022. Au fond : Complète le jugement comme suit : Prononce la mainlevée définitive de l'opposition formée au commandement de payer, poursuite n° 1______, pour les postes n° 1 à 3. Confirme le jugement pour le surplus. Déboute les parties de toutes autres conclusions. Sur les frais : Arrête les frais judiciaires d'appel à 2'000 fr., compensés avec l'avance de frais fournie, acquise à l'Etat de Genève, et les met à la charge de A______ et de B______ à raison d'une moitié chacun. Condamne B______ à verser 1'000 fr. à A______ à titre de remboursement de frais. Dit qu'il n'est pas alloué de dépens d'appel. Siégeant : Madame Jocelyne DEVILLE-CHAVANNE, présidente; Madame Verena PEDRAZZINI RIZZI, Madame Nathalie LANDRY-BARTHE, juges; Madame Camille LESTEVEN, greffière.</w:t>
      </w:r>
    </w:p>
    <w:p>
      <w:r>
        <w:t>- 16/16 -</w:t>
      </w:r>
    </w:p>
    <w:p>
      <w:r>
        <w:t>C/11940/2022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