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ACJC/1386/2022 vom 25. Oktober 2022</w:t>
      </w:r>
    </w:p>
    <w:p>
      <w:r>
        <w:t>GE Cour de justice, 2022-10-25, FR</w:t>
      </w:r>
    </w:p>
    <w:p>
      <w:r>
        <w:rPr>
          <w:b/>
        </w:rPr>
        <w:t xml:space="preserve">Quelle: </w:t>
      </w:r>
      <w:r>
        <w:t>https://mcp.opencaselaw.ch/entscheid/ge_gerichte_ACJC_1386_2022</w:t>
      </w:r>
    </w:p>
    <w:p>
      <w:r>
        <w:t>FR: GE_GERICHTE ACJC/1386/2022 du 25 octobre 2022</w:t>
      </w:r>
    </w:p>
    <w:p>
      <w:r>
        <w:t>IT: GE_GERICHTE ACJC/1386/2022 del 25 ottobre 2022</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w:t>
      </w:r>
    </w:p>
    <w:p>
      <w:r>
        <w:t>En l'espèce, la valeur litigieuse de 10'000 fr. est atteinte (cf. art. 92 al. 2 CPC), de sorte que la voie de l'appel est ouverte.</w:t>
      </w:r>
    </w:p>
    <w:p>
      <w:r>
        <w:rPr>
          <w:b/>
        </w:rPr>
        <w:t>E. 1.2</w:t>
      </w:r>
    </w:p>
    <w:p>
      <w:r>
        <w:t>Interjeté dans le délai de 10 jours à compter de la notification de la décision attaquée (art. 142 al. 3, 311 al. 1 et 314 al. 1 CPC), l'appel est recevable de ce point de vue.</w:t>
      </w:r>
    </w:p>
    <w:p>
      <w:r>
        <w:rPr>
          <w:b/>
        </w:rPr>
        <w:t>E. 1.3</w:t>
      </w:r>
    </w:p>
    <w:p>
      <w:r>
        <w:t>Dans le cadre de mesures provisionnelles rendues pour la durée de la procédure de divorce, le juge établit les faits d'office en vertu de la maxime inquisitoire (art. 272 CPC, applicable par analogie au vu de l'art. 276 al. 1 CPC; arrêt 5A_335/2019 du 4 septembre 2019 consid. 5.2 et les références)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in limine), ce qui exclut les mesures d'instruction plus étendues. Il suffit donc que les faits soient rendus plausibles. Le point de savoir si le degré de vraisemblance requis par le droit fédéral est atteint dans le cas particulier ressortit à l'appréciation des preuves (ATF 130 III 321 consid. 5; arrêt du Tribunal 5A_683/2021 du 3 mai 2022 consid. 4.2).</w:t>
      </w:r>
    </w:p>
    <w:p>
      <w:r>
        <w:t>- 6/11 -</w:t>
      </w:r>
    </w:p>
    <w:p>
      <w:r>
        <w:t>C/1646/2018</w:t>
      </w:r>
    </w:p>
    <w:p>
      <w:r>
        <w:t>Les questions relatives aux contributions d'entretien entre époux sont soumises à la maxime de disposition (art. 58 al. 1 CPC), ainsi qu'à la maxime des débats atténuée (art. 55 al. 1 et 277 al. 1 CPC).</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En l'espèce, les déclarations fiscales produites par l'appelant et portant sur les années 2018 à 2020 auraient pu être produites en première instance, dès lors qu'il n'est pas allégué que ces déclarations ont été complétées après l'échéance du délai fixé par l'administration fiscale au 31 mars de chaque année. Elles sont donc irrecevables. Il est vraisemblable, en revanche, que, la cause ayant été gardée à juger le 22 février 2022, la déclaration 2021 a été remplie après cette date, de sorte qu'elle doit être considérée comme recevable. Il en va de même des fiches de salaire et des extraits de compte bancaire, pour la période postérieure au 22 février 2022, les pièces antérieures étant par contre irrecevables, de même que les faits qui s'y rapportent.</w:t>
      </w:r>
    </w:p>
    <w:p>
      <w:r>
        <w:rPr>
          <w:b/>
        </w:rPr>
        <w:t>E. 2</w:t>
      </w:r>
    </w:p>
    <w:p>
      <w:r>
        <w:t>La seule question litigieuse est celle de la contribution d'entretien due par l'appelant à l'intimée : celui-là critique l'établissement de ses revenus mensuels par le premier juge.</w:t>
      </w:r>
    </w:p>
    <w:p>
      <w:r>
        <w:rPr>
          <w:b/>
        </w:rPr>
        <w:t>E. 2.1.1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w:t>
      </w:r>
    </w:p>
    <w:p>
      <w:r>
        <w:t>- 7/11 -</w:t>
      </w:r>
    </w:p>
    <w:p>
      <w:r>
        <w:t>C/1646/2018 5A_173/2013 du 4 juillet 2013 consid. 4.2 et 5A_236/2011 du 18 octobre 2011 consid. 4.2.3).</w:t>
      </w:r>
    </w:p>
    <w:p>
      <w:r>
        <w:rPr>
          <w:b/>
        </w:rPr>
        <w:t>E. 2.1.2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t>Dans trois arrêts publiés (ATF 147 III 265 in SJ 2021 I 316; 147 III 293 ;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1er novembre 2018 consid. 3.1.3).</w:t>
      </w:r>
    </w:p>
    <w:p>
      <w:r>
        <w:t>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w:t>
      </w:r>
    </w:p>
    <w:p>
      <w:r>
        <w:rPr>
          <w:b/>
        </w:rPr>
        <w:t>E. 2.1.3</w:t>
      </w:r>
    </w:p>
    <w:p>
      <w:r>
        <w:t>Pour calculer la contribution d'entretien, il convient en principe de se fonder sur le revenu effectif des parties (ATF 143 III 233 consid. 3.2; arrêt du Tribunal fédéral 5A_724/2018 du 14 mars 2019 consid. 3.2.4).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et 5A_745/2015 du 15 juin 2016 consid. 12.2.2).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(arrêts du Tribunal fédéral 5A_455/2017 du 10 août 2017 consid. 3.1; 5A_874/2014 du 8 mai 2015 consid. 5.2.2 et 5A_246/2009 du 22 mars 2010 consid. 3.1).</w:t>
      </w:r>
    </w:p>
    <w:p>
      <w:r>
        <w:t>La détermination du revenu d'un indépendant peut en conséquence se faire en référence soit au bénéfice net, soit aux prélèvements privés, ces deux critères étant</w:t>
      </w:r>
    </w:p>
    <w:p>
      <w:r>
        <w:t>- 8/11 -</w:t>
      </w:r>
    </w:p>
    <w:p>
      <w:r>
        <w:t>C/1646/2018 toutefois exclusifs l'un de l'autre: l'on ne peut ainsi conclure que le revenu d'un indépendant est constitué de son bénéfice net, additionné à ses prélèvements privés (arrêts du Tribunal fédéral 5A_544/2014 du 17 septembre 2014 consid. 4.1 et 5A_396/2013 du 26 février 2014 consid. 3.2.3).</w:t>
      </w:r>
    </w:p>
    <w:p>
      <w:r>
        <w:rPr>
          <w:b/>
        </w:rPr>
        <w:t>E. 2.1.4</w:t>
      </w:r>
    </w:p>
    <w:p>
      <w:r>
        <w:t>Si l'une des parties refuse de collaborer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 il s'agit bien plus de traiter le refus injustifié de collaborer comme un élément parmi d'autres à prendre en compte dans la libre appréciation des preuves (art. 157 CPC; ATF 140 III 264 consid. 2.3; arrêt du Tribunal fédéral 5A_651/2014 du 27 janvier 2015 consid. 2.1).</w:t>
      </w:r>
    </w:p>
    <w:p>
      <w:r>
        <w:t>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w:t>
      </w:r>
    </w:p>
    <w:p>
      <w:r>
        <w:rPr>
          <w:b/>
        </w:rPr>
        <w:t>E. 2.2</w:t>
      </w:r>
    </w:p>
    <w:p>
      <w:r>
        <w:t>En l'espèce, le premier juge a estimé les revenus de l'appelant à 9'000 fr. par mois net au minimum, précisant que les revenus provenant de K______ SA et I______ Sàrl n'avaient pas été établis.</w:t>
      </w:r>
    </w:p>
    <w:p>
      <w:r>
        <w:t>Dans son appel, l'appelant se prévaut de ses fiches de salaire, d'extraits de compte bancaire et de déclarations fiscales – dont il a été vu qu'une partie de ces documents sont irrecevables (cf. consid. 1.4 supra) – pour conclure que son salaire n'était que de 6'500 fr. net par mois environ. Les travaux de conciergerie avaient été repris par son épouse, qui avait ainsi vu son salaire augmenter de 20'000 fr. net par an.</w:t>
      </w:r>
    </w:p>
    <w:p>
      <w:r>
        <w:t>L'intimée ne conteste pas que l'activité de conciergerie de l'appelant a cessé, mais elle soutient qu'il faudrait en tenir compte à titre de revenu hypothétique. De toute manière, l'appelant percevait, selon toute vraisemblance, des revenus supplémentaires des sociétés dont il était ayant droit économique, portant ainsi ses revenus mensuels à un montant d'au moins 9'000 fr. net par mois.</w:t>
      </w:r>
    </w:p>
    <w:p>
      <w:r>
        <w:t>Il convient de relever que le raisonnement du Tribunal n'est pas explicite sur la question de savoir s'il a tenu compte dans les revenus mensuels de l'appelant de son salaire de concierge d'environ 1'500 fr. par mois et qui n'est plus perçu depuis plusieurs années, ce qui n'est pas contesté.</w:t>
      </w:r>
    </w:p>
    <w:p>
      <w:r>
        <w:t>Il n'est cependant pas essentiel d'éclaircir plus avant ce point au vu de ce qui suit.</w:t>
      </w:r>
    </w:p>
    <w:p>
      <w:r>
        <w:t>- 9/11 -</w:t>
      </w:r>
    </w:p>
    <w:p>
      <w:r>
        <w:t>C/1646/2018</w:t>
      </w:r>
    </w:p>
    <w:p>
      <w:r>
        <w:t>En effet, s'agissant du salaire perçu par l'appelant de F______ SA, il s'est élevé pendant de nombreuses années à 98'000 fr. bruts par an, soit 8'100 fr. brut par mois ou environ 7'200 fr. net après déduction des charges sociales. Ce salaire a soudainement baissé à 6'500 fr. net par mois dès le 1er janvier 2022, sans aucune explication crédible de l'appelant à ce sujet. Or, une baisse de salaire aussi substantielle aurait dû être justifiée par l'appelant, soit par des résultats économiques en baisse ou par une réorganisation de son temps de travail ou de son rôle dans l'entreprise. L'appelant n'en fait toutefois rien et n'a produit aucune pièce concernant la situation financière de F______ SA, se contentant d'affirmer que les résultats économiques de la société étaient en baisse. Il sera en outre relevé que l'appelant est administrateur et actionnaire de cette société, de sorte que, comme le soutient l'intimée, il peut vraisemblablement modifier librement son salaire. La simple affirmation d'une partie ne suffisant pas encore à retenir que le fait considéré est vraisemblable, il peut être retenu que le salaire de l'appelant perçu de F______ SA est vraisemblablement de 7'200 fr., comme il l'a été pendant de nombreuses années ou, à tout le moins, qu'un tel montant devrait être retenu à titre de revenu hypothétique.</w:t>
      </w:r>
    </w:p>
    <w:p>
      <w:r>
        <w:t>De surcroît, il faut relever que l'appelant a précédemment omis d'annoncer aux autorités fiscales ses participations dans les sociétés qu'il détient et qu'il dirige. Ainsi, la déclaration fiscale 2016 du couple est muette sur lesdites participations, alors que l'appelant était actionnaire ou associé d'au moins trois personnes morales. Les références qu'il fait à ses déclarations fiscales ou à ses avis de taxation paraissent ainsi dénués de pertinence, dès lors que ces documents ne reflètent pas sa situation financière réelle en l'absence d'éléments essentiels de son patrimoine, qui sont susceptibles de générer des revenus réguliers. Il en va de même de la production de sa documentation bancaire sur une seule courte période et en appel uniquement, ce qui est insuffisant pour obtenir une image complète de ses revenus.</w:t>
      </w:r>
    </w:p>
    <w:p>
      <w:r>
        <w:t>Il est en revanche démontré que le montant issu de la gérance de la station-service de H______ Sàrl est de 3'240 fr. par mois en faveur de l'appelant. L'affirmation de celui-ci dans sa réponse de première instance selon laquelle ce montant serait entièrement absorbé par le loyer des locaux occupés par l'entreprise n'est rendu vraisemblable par aucun élément. En outre, l'appelant a expressément exposé se partager l'exploitation de cette société avec son frère, ce qui tend à rendre vraisemblable que celui-ci devrait aussi, le cas échéant, à tout le moins, participer aux charges de loyer et donc laisser un montant disponible pour l'appelant sur les paiements du gérant.</w:t>
      </w:r>
    </w:p>
    <w:p>
      <w:r>
        <w:t>De plus, le contrat de fiducie conclu en lien avec I______ Sàrl révèle un arrière- plan économique particulièrement obscur, puisqu'il aurait été, selon les documents et les explications postérieures, conclu pour garantir un prêt dont il n'est pas fait mention dans le contrat de fiducie. Celui-ci mentionne au contraire une volonté de</w:t>
      </w:r>
    </w:p>
    <w:p>
      <w:r>
        <w:t>- 10/11 -</w:t>
      </w:r>
    </w:p>
    <w:p>
      <w:r>
        <w:t>C/1646/2018 l'appelant de ne pas apparaître au Registre du commerce et dénote plutôt une volonté de dissimuler sa prise de participation, ce qui est congruent avec l'absence de mention des participations de l'appelant dans les déclarations fiscales.</w:t>
      </w:r>
    </w:p>
    <w:p>
      <w:r>
        <w:t>Enfin, les allégués des parties sont contradictoires concernant K______ SA, puisque l'intimée affirme que l'appelant en serait le détenteur économique et que celui-ci allègue que son fils et sa nièce en seraient actionnaires, sans toutefois apporter le moindre élément à ce sujet et sans que cela ressorte des registres publics.</w:t>
      </w:r>
    </w:p>
    <w:p>
      <w:r>
        <w:t>En résumé, A______ n'obtient certes vraisemblablement plus de revenu de son activité de concierge. Percevant 7'200 fr. net par mois de son activité salariée, il est toutefois vraisemblable qu'il touche de ses diverses participations dans des sociétés un revenu supplémentaire qui permet de confirmer l'ordonnance. Il était légitime pour le premier juge de procéder à une estimation de ces revenus en fonction des pièces produites, estimation qui échappe à la critique quant à son résultat.</w:t>
      </w:r>
    </w:p>
    <w:p>
      <w:r>
        <w:t>Par conséquent, l'estimation à laquelle a procédé le premier juge, soit un revenu minimum de 9'000 fr. par mois, apparaît adéquate au vu des documents disponibles, pris sous l'angle de la vraisemblance.</w:t>
      </w:r>
    </w:p>
    <w:p>
      <w:r>
        <w:t>L'ordonnance entreprise sera donc confirmée.</w:t>
      </w:r>
    </w:p>
    <w:p>
      <w:r>
        <w:rPr>
          <w:b/>
        </w:rPr>
        <w:t>E. 3</w:t>
      </w:r>
    </w:p>
    <w:p>
      <w:r>
        <w:t>Les frais judiciaires de la procédure d'appel, arrêtés à 800 fr., seront mis à la charge de l'appelant qui succombe et compensés avec l'avance qu'il a versée et qui demeure acquise à l'Etat de Genève (art. 311 al. 1 CPC).</w:t>
      </w:r>
    </w:p>
    <w:p>
      <w:r>
        <w:t>Vu la nature familiale du litige, chaque partie supportera ses propres dépens d'appel (art. 107 al. 1 let. c CPC). * * * * *</w:t>
      </w:r>
    </w:p>
    <w:p>
      <w:r>
        <w:t>- 11/11 -</w:t>
      </w:r>
    </w:p>
    <w:p>
      <w:r>
        <w:t>C/1646/2018 PAR CES MOTIFS, La Chambre civile :</w:t>
      </w:r>
    </w:p>
    <w:p>
      <w:r>
        <w:t>A la forme : Déclare recevable l'appel interjeté par A______ le 14 avril 2022 contre l'ordonnance OTPI/192/2022 rendue le 31 mars 2022 par le Tribunal de première instance dans la cause C/1646/2018. Au fond : Confirme l'ordonnance entreprise. Déboute les parties de toutes autres conclusions. Sur les frais : Arrête les frais judiciaires de l'appel à 800 fr., les met à la charge de A______ et les compense avec l'avance de même montant qu'il a versée et qui demeure acquise à l'Etat de Genève. Dit que chaque partie supporte ses propres dépens d'appel. Siégeant : Monsieur Laurent RIEBEN, président; Madame Pauline ERARD, Monsieur Cédric-Laurent MICHEL,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