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ACJC/1386/2011 vom 23. Juni 2011</w:t>
      </w:r>
    </w:p>
    <w:p>
      <w:r>
        <w:t>GE Cour de justice, 2011-06-23, FR</w:t>
      </w:r>
    </w:p>
    <w:p>
      <w:r>
        <w:rPr>
          <w:b/>
        </w:rPr>
        <w:t xml:space="preserve">Quelle: </w:t>
      </w:r>
      <w:r>
        <w:t>https://mcp.opencaselaw.ch/entscheid/ge_gerichte_ACJC_1386_2011</w:t>
      </w:r>
    </w:p>
    <w:p>
      <w:r>
        <w:t>FR: GE_GERICHTE ACJC/1386/2011 du 23 juin 2011</w:t>
      </w:r>
    </w:p>
    <w:p>
      <w:r>
        <w:t>IT: GE_GERICHTE ACJC/1386/2011 del 23 giugno 2011</w:t>
      </w:r>
    </w:p>
    <w:p>
      <w:pPr>
        <w:pStyle w:val="Heading2"/>
      </w:pPr>
      <w:r>
        <w:t>Regeste</w:t>
      </w:r>
    </w:p>
    <w:p>
      <w:r>
        <w:t>Résumé: Selon l'art. 495 al. 1 CO, le créancier ne peut exiger le paiement de la caution simple que si, après qu'elle s'est engagée, le débiteur a été déclaré en faillite ou a obtenu un sursis concordataire ou a été, de la part du créancier, qui a observé la diligence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Les conventions contraires des parties sont réservées (art. 495 al. 4 CO).</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recours dirigé contre un jugement notifié aux parties après le 1er janvier 2011, la présente cause est régie par le nouveau droit de procédure.</w:t>
      </w:r>
    </w:p>
    <w:p>
      <w:r>
        <w:t>- 4/7 -</w:t>
      </w:r>
    </w:p>
    <w:p>
      <w:r>
        <w:t>C/28980/2010</w:t>
      </w:r>
    </w:p>
    <w:p>
      <w:r>
        <w:rPr>
          <w:b/>
        </w:rPr>
        <w:t>E. 2.1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t>A Genève, la Chambre civile de la Cour de justice est l'instance compétente pour connaître d'un recours (art. 120 al. 1 let. a LOJ).</w:t>
      </w:r>
    </w:p>
    <w:p>
      <w:r>
        <w:rPr>
          <w:b/>
        </w:rPr>
        <w:t>E. 2.2</w:t>
      </w:r>
    </w:p>
    <w:p>
      <w:r>
        <w:t>Interjeté dans le délai et les formes prévus par la loi, le présent recours est recevable.</w:t>
      </w:r>
    </w:p>
    <w:p>
      <w:r>
        <w:rPr>
          <w:b/>
        </w:rPr>
        <w:t>E. 3</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le recourant (HOHL/DE PORET/BORTOLASO/AGUET, Procédure civile, Tome II, 2ème édition, Berne, 2010, n. 2307).</w:t>
      </w:r>
    </w:p>
    <w:p>
      <w:r>
        <w:rPr>
          <w:b/>
        </w:rPr>
        <w:t>E. 4.1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LP, l'acte signé par le poursuivi - ou son représentant - duquel il ressort sa volonté de payer au poursuivant, sans réserve ni condition, une somme d'argent déterminée ou aisément déterminable et exigible au moment de la réquisition de poursuite (ATF 130 III 87 consid. 3.1 et les références citées; JAEGER/WALDER/KULL/ KOTTMANN, Bundesgesetz über Schuldbetreibung und Konkurs, 4ème édition, 1997, n. 10 ad art. 82 LP). L'acte doit également comporter la signature du débiteur ou de son représentant.</w:t>
      </w:r>
    </w:p>
    <w:p>
      <w:r>
        <w:rPr>
          <w:b/>
        </w:rPr>
        <w:t>E. 4.2</w:t>
      </w:r>
    </w:p>
    <w:p>
      <w:r>
        <w:t>L'art. 492 al. 1 CO prévoit que le cautionnement est un contrat par lequel une personne s'engage envers le créancier à garantir le paiement de la dette contractée par le débiteur. Le créancier ne peut exiger le paiement de la caution simple que si, après qu'elle s'est engagée, le débiteur a été déclaré en faillite ou a obtenu un sursis concordataire ou a été, de la part du créancier, qui a observé la diligence</w:t>
      </w:r>
    </w:p>
    <w:p>
      <w:r>
        <w:t>- 5/7 -</w:t>
      </w:r>
    </w:p>
    <w:p>
      <w:r>
        <w:t>C/28980/2010 nécessaire, l'objet de poursuites ayant abouti à la délivrance d'un acte de défaut de biens définitif ou a transféré son domicile à l'étranger et ne peut plus être recherché en Suisse ou encore qu'en raison du transfert de son domicile d'un Etat étranger dans un autre l'exercice du droit du créancier est sensiblement entravé (art. 495 al. 1 CO). Selon la doctrine, le transfert du domicile doit intervenir après la conclusion du contrat de cautionnement. Le bénéfice de discussion subsiste tant qu'un for existe en Suisse où agir contre le débiteur principal, en dépit des difficultés que cela peut présenter, même après qu'il a transféré son domicile à l'étranger. Tel est notamment le cas du for du séquestre ou de celui lié à un établissement stable (MEIER, Commentaire Romand, n. 11 ad art. 495 CO). Les conventions contraires des parties sont réservées (art. 495 al. 4 CO). Selon l'art. 257e al. 1 CO, si le locataire d'habitations ou de locaux commerciaux fournit des sûretés en espèces ou sous forme de papiers-valeurs, le bailleur doit les déposer auprès d'une banque, sur un compte d'épargne ou de dépôt au nom du locataire. La loi vaudoise sur les garanties en matière de baux à loyer prévoit que le bailleur ou son représentant doit, s'il reçoit, à raison de bail, des espèces à titre de garantie, les déposer dans les 10 jours, sur un livret établi au nom du locataire (art. 1 al. 1). Pour les baux concernant des logements, seul le cautionnement simple est admissible, à la demande expresse du locataire. Ce dernier peut, en tout temps, substituer au cautionnement une garantie de même montant en espèces ou en valeur (art. 1 al. 4). Le retrait de tout ou partie des sommes ou valeurs déposées, à titre de garantie, ne peut être effectué que sous la double signature du bailleur et du locataire ou en vertu d'une décision judiciaire (art. 3 al. 1).</w:t>
      </w:r>
    </w:p>
    <w:p>
      <w:r>
        <w:rPr>
          <w:b/>
        </w:rPr>
        <w:t>E. 4.3</w:t>
      </w:r>
    </w:p>
    <w:p>
      <w:r>
        <w:t>En l'occurrence, l'intimée a conclu un contrat de cautionnement simple, pour garantir le montant de 17'700 fr. souscrit par la locataire à titre de sûretés, en faveur des recourants. Aucune espèce ni papier-valeur n'ont été remis aux recourants à titre de sûretés, de sorte que l'art. 257e CO ne trouve pas application. Toutefois, les parties sont convenues dans le contrat de cautionnement que les règles et usages locatifs du canton de Vaud devaient être respectées. Les parties ont ainsi dérogé valablement aux dispositions générales en matière de cautionnement simple, en prévoyant que les sommes déposées à titre de garantie ne pouvaient être utilisées que sous la double signature du bailleur et du locataire ou en vertu d'une décision judiciaire.</w:t>
      </w:r>
    </w:p>
    <w:p>
      <w:r>
        <w:t>- 6/7 -</w:t>
      </w:r>
    </w:p>
    <w:p>
      <w:r>
        <w:t>C/28980/2010 Quand bien même aucune espèce n'a été versée, les modalités prévues par les parties trouvent application au cas d'espèce. Or, les recourants n'ont ni allégué, ni rendu vraisemblable avoir obtenu la signature de la locataire ou une décision judiciaire à la suite d'une procédure introduite contre celle-ci. Partant, le recours sera rejeté et le jugement entrepris sera confirmé.</w:t>
      </w:r>
    </w:p>
    <w:p>
      <w:r>
        <w:rPr>
          <w:b/>
        </w:rPr>
        <w:t>E. 5</w:t>
      </w:r>
    </w:p>
    <w:p>
      <w:r>
        <w:t>Les recourants qui succombent seront condamnés aux frais (art. 106 al. 1 et 3 CPC). En vertu de l'art. 61 al. 1 OELP, la juridiction supérieure à laquelle sont déférées les décisions rendues dans une procédure sommaire en matière de poursuite (art. 251 CPC) peut prélever un émolument n'excédant pas une fois et demie l'émolument que peut prélever l'autorité de première instance. Partant, l'émolument de décision sera fixé à 600 fr. et mis à la charge des recourants. L'avance de 600 fr. versée par les recourants reste acquise à l'Etat. Les recourants seront également condamnés aux dépens de l'intimée assistée d'un conseil devant la Cour, arrêtés à 2'600 fr. (art. 96 et 105 al. 2 CPC; art. 85 et 90 du règlement fixant le tarif des greffes en matières civile du 22 décembre 2010, E 1 05.10).</w:t>
      </w:r>
    </w:p>
    <w:p>
      <w:r>
        <w:rPr>
          <w:b/>
        </w:rPr>
        <w:t>E. 6</w:t>
      </w:r>
    </w:p>
    <w:p>
      <w:r>
        <w:t>La valeur litigieuse, au sens de l'art. 51 LTF, est inférieure à 30'000 fr. * * * * *</w:t>
      </w:r>
    </w:p>
    <w:p>
      <w:r>
        <w:t>- 7/7 -</w:t>
      </w:r>
    </w:p>
    <w:p>
      <w:r>
        <w:t>C/28980/2010 PAR CES MOTIFS, La Chambre civile : A la forme : Déclare recevable le recours interjeté par A_______ et B_______ contre le jugement JTPI/10699/2011 rendu le 23 juin 2011 par le Tribunal de première instance dans la cause C/28980/2010-JS SS. Au fond : Rejette le recours. Arrête les frais judiciaires à 600 fr. Les met à la charge de A_______ et B_______ et dit qu'ils sont entièrement compensés par l'avance de frais déjà opérée. Condamne A_______ et B_______, conjointement et solidairement, à verser à C_______Ltd 2'600 fr. à titre de dépens. Déboute les parties de toutes autres conclusions. Siégeant : Monsieur Jean-Marc STRUBIN, président; Madame Sylvie DROIN, Madame Nathalie LANDRY-BARTHE, juges; Madame Fatina SCHAERER, greffier.</w:t>
      </w:r>
    </w:p>
    <w:p>
      <w:r>
        <w:t>Le président : Jean-Marc STRUBIN</w:t>
      </w:r>
    </w:p>
    <w:p>
      <w:r>
        <w:t>Le greffier : Fatina SCHAERER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