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ACJC/1385/2024 vom 14. November 2024</w:t>
      </w:r>
    </w:p>
    <w:p>
      <w:r>
        <w:t>GE Cour de justice, 2024-11-14, FR</w:t>
      </w:r>
    </w:p>
    <w:p>
      <w:r>
        <w:rPr>
          <w:b/>
        </w:rPr>
        <w:t xml:space="preserve">Quelle: </w:t>
      </w:r>
      <w:r>
        <w:t>https://mcp.opencaselaw.ch/entscheid/ge_gerichte_ACJC_1385_2024</w:t>
      </w:r>
    </w:p>
    <w:p>
      <w:r>
        <w:t>FR: GE_GERICHTE ACJC/1385/2024 du 14 novembre 2024</w:t>
      </w:r>
    </w:p>
    <w:p>
      <w:r>
        <w:t>IT: GE_GERICHTE ACJC/1385/2024 del 14 novembre 2024</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En l'espèce, la cause, en appel, porte notamment sur les droits parentaux, de sorte qu'elle peut être qualifiée de non patrimoniale dans son ensemble. Quoiqu'il en soit, la valeur litigieuse, calculée conformément à l'art. 92 al. 2 CPC, est supérieure à 10'000 fr. La voie de l'appel est dès lors ouverte.</w:t>
      </w:r>
    </w:p>
    <w:p>
      <w:r>
        <w:t>- 10/16 -</w:t>
      </w:r>
    </w:p>
    <w:p>
      <w:r>
        <w:t>C/16347/2020</w:t>
      </w:r>
    </w:p>
    <w:p>
      <w:r>
        <w:rPr>
          <w:b/>
        </w:rPr>
        <w:t>E. 1.2</w:t>
      </w:r>
    </w:p>
    <w:p>
      <w:r>
        <w:t>Interjeté dans le délai utile de 10 jours (art. 142 al. 1 et 3, 314 al. 2 CPC) et selon la forme prescrite par la loi (art. 130, 131 et 311 al. 1 CPC), l'appel est recevable. Sont également recevables la réponse de l'intimé, ainsi que la réplique et duplique des parties (sur le droit à la réplique spontanée: cf. ATF 146 III 97 consid. 3.4.1).</w:t>
      </w:r>
    </w:p>
    <w:p>
      <w:r>
        <w:rPr>
          <w:b/>
        </w:rPr>
        <w:t>E. 1.3</w:t>
      </w:r>
    </w:p>
    <w:p>
      <w:r>
        <w:t>L'appel n'a pas d'effet suspensif lorsqu'il a pour objet des décisions portant sur des mesures provisionnelles (art. 315 al. 4 let. b CPC). En l'espèce, dans la mesure où l'appelante n'a pas sollicité la suspension du caractère exécutoire des mesures entreprises, celles-ci sont exécutoires.</w:t>
      </w:r>
    </w:p>
    <w:p>
      <w:r>
        <w:rPr>
          <w:b/>
        </w:rPr>
        <w:t>E. 1.4</w:t>
      </w:r>
    </w:p>
    <w:p>
      <w:r>
        <w:t>La Cour revoit la cause avec un plein pouvoir d'examen (art. 310 CPC). Les mesures provisionnelles étant soumises à la procédure sommaire (art. 248 let. d CPC), la cognition du juge est limitée à la simple vraisemblance des faits et à un examen sommaire du droit (ATF 138 III 636 consid. 4.3.2). La présente cause est soumise aux maximes d'office et inquisitoire illimitée en tant qu'elle concerne l'enfant mineur des parties (art. 296 al. 1 et 3 CPC), de sorte que la Cour n'est liée ni par les conclusions des parties sur ce point (art. 296 al. 3 CPC), ni par l'interdiction de la reformatio in pejus (ATF 129 III 417 consid. 2.1.1).</w:t>
      </w:r>
    </w:p>
    <w:p>
      <w:r>
        <w:rPr>
          <w:b/>
        </w:rPr>
        <w:t>E. 2</w:t>
      </w:r>
    </w:p>
    <w:p>
      <w:r>
        <w:t>Le dossier présente des éléments d'extranéité, l'intimé étant domicilié en France, et le domicile des enfants ayant été fixé chez ce dernier par ordonnance du Tribunal du 10 février 2022. La compétence des autorités judiciaires genevoises est discutable (art. 59 let. a, 63 al. 1 et 1bis, 79 al. 1 et 85 al. 1 LDIP ; art. 5 ch. 2 CL; art. 5 ch. 1 de la Convention de La Haye du 19 octobre 1996 concernant la compétence, la loi applicable, la reconnaissance, l'exécution et la coopération en matière de responsabilité parentale et de mesures protection des enfants – CLaH96), compte tenu du domicile en France de l'intimé et des enfants. Dans la mesure où l'appelante sollicite que la garde alternée sur F______ soit instaurée, qu'elle réside à Genève et qu'il est dans l'intérêt de l'enfant qu'une décision soit prise rapidement (art. 85 al. 3 LDIP et 11 ch. 1 CLaH96, la compétence du Tribunal et de la Cour sera admise, laquelle n'est au demeurant pas contestée par les parties.</w:t>
      </w:r>
    </w:p>
    <w:p>
      <w:r>
        <w:rPr>
          <w:b/>
        </w:rPr>
        <w:t>E. 3</w:t>
      </w:r>
    </w:p>
    <w:p>
      <w:r>
        <w:t>Les parties ont allégués des faits nouveaux et produit des pièces nouvelles.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- 11/16 -</w:t>
      </w:r>
    </w:p>
    <w:p>
      <w:r>
        <w:t>C/16347/2020 Lorsque la procédure est soumise à la maxime inquisitoire illimitée, les parties peuvent présenter des nova en appel même si les conditions de l'art. 317 al. 1 CPC ne sont pas réunies (ATF 144 III 349 consid. 4.2.1).</w:t>
      </w:r>
    </w:p>
    <w:p>
      <w:r>
        <w:rPr>
          <w:b/>
        </w:rPr>
        <w:t>E. 3.2</w:t>
      </w:r>
    </w:p>
    <w:p>
      <w:r>
        <w:t>En l'espèce, les pièces nouvelles produites par les parties, ainsi que les faits s'y rapportant, sont recevables, dès lors qu'ils concernent les situations personnelles et financières des parents et du mineur, lesquelles sont susceptibles d'influencer la contribution d'entretien litigieuse. Il en a été tenu compte dans l'état de faits ci- dessus.</w:t>
      </w:r>
    </w:p>
    <w:p>
      <w:r>
        <w:rPr>
          <w:b/>
        </w:rPr>
        <w:t>E. 4</w:t>
      </w:r>
    </w:p>
    <w:p>
      <w:r>
        <w:t>L'appelante fait grief au Tribunal d'avoir attribué la garde exclusive de F______ à l'intimé.</w:t>
      </w:r>
    </w:p>
    <w:p>
      <w:r>
        <w:rPr>
          <w:b/>
        </w:rPr>
        <w:t>E. 4.1</w:t>
      </w:r>
    </w:p>
    <w:p>
      <w:r>
        <w:t>Saisi d'une requête commune ou d'une demande unilatérale tendant au divorce (art. 274 CPC), le tribunal ordonne les mesures provisionnelles nécessaires, en appliquant par analogie les dispositions régissant la protection de l'union conjugale (art. 276 al. 1 CPC). Le Tribunal du divorce est compétent pour prononcer la modification ou la révocation des mesures provisionnelles (art. 276 al. 2 CPC). Les mesures provisionnelles peuvent être modifiées ou révoquées, s'il s'avère par la suite qu'elles sont injustifiées ou que les circonstances se sont modifiées (art. 268 al. 1 CPC). Les mesures provisionnelles ordonnées en vertu de l'art. 276 al. 1 CPC organisent les relations entre époux pour la durée de la procédure de divorce. Toute mesure peut être ordonnée lorsqu'elle apparaît nécessaire, appropriée et proportionnée. Les conditions de l'urgence et du dommage difficilement réparable (art. 261 al. 1 CPC) ne sont pas applicables aux mesures de réglementation; font exception les mesures superprovisionnelles (FOUNTOULAKIS/D'ANDRES, Petit Commentaire CPC, 2020, n. 1-3 ad art. 276 CPC et les références; dans le même sens : TAPPY, in Commentaire romand, CPC, 2ème éd. 2019, n. 32 ss ad art. 276 CPC; LEUENBERGER, in FamKom Scheidung, n. 5 ad art. 276 CPC; cf. également le Message CPC, p. 6967, qui mentionne des "mesures qui sont nécessaires, appropriées et proportionnées "). Dans le présent cas, il n'est pas contesté qu'il se justifie d'entrer en matière s'agissant de la demande de modification des mesures provisionnelles déposée par l'intimé le 9 avril 2024.</w:t>
      </w:r>
    </w:p>
    <w:p>
      <w:r>
        <w:rPr>
          <w:b/>
        </w:rPr>
        <w:t>E. 4.2</w:t>
      </w:r>
    </w:p>
    <w:p>
      <w:r>
        <w:t>Pendant la procédure de divorce, le juge doit, autant que possible, éviter d'ordonner des mesures qui créeraient une situation irréversible ou préjugeraient définitivement des décisions à prendre dans le jugement au fond, ce qui n'est cependant pas toujours évitable en matière d'attribution des enfants, la stabilité</w:t>
      </w:r>
    </w:p>
    <w:p>
      <w:r>
        <w:t>- 12/16 -</w:t>
      </w:r>
    </w:p>
    <w:p>
      <w:r>
        <w:t>C/16347/2020 étant un critère important dans ce domaine (arrêt du Tribunal fédéral 5A_433/2020 du 15 décembre 2020 consid. 3.1). En matière d'attribution des droits parentaux, le bien de l'enfant constitue la règle fondamentale (ATF 141 III 328 consid. 5.4), les intérêts des parents devant être relégués au second plan (ATF 142 III 617 consid. 3.2.3; arrêts du Tribunal fédéral 5A_34/2017 du 4 mai 2017 consid. 5.1; 5A_425/2016 du 15 décembre 2016 consid. 3.4.2). Aux termes de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(arrêts du Tribunal fédéral 5A_793/2020 du 24 février 2021 consid. 5.1; 5A_844/2019 du 17 septembre 2020 consid. 3.2.2; 5A_821/2019 du 14 juillet 2020 consid. 4.1; 5A_200/2019 du 29 janvier 2020 consid. 3.1.2). En matière de garde, des changements trop fréquents peuvent être préjudiciables à l'intérêt de l'enfant. Par conséquent, lorsque la décision de mesures provisionnelles statue sur la garde ou modifie celle-ci, le bien de l'enfant commande, dans la règle, de maintenir les choses en l'état et de laisser celui-ci auprès de la personne qui lui sert actuellement de référence (arrêt du Tribunal fédéral 5A_792/2018 du 6 février 2019 consid. 3.2.2).</w:t>
      </w:r>
    </w:p>
    <w:p>
      <w:r>
        <w:rPr>
          <w:b/>
        </w:rPr>
        <w:t>E. 4.3</w:t>
      </w:r>
    </w:p>
    <w:p>
      <w:r>
        <w:t>En l'espèce, les parties ont exercé la garde alternée sur F______ depuis leur séparation, en 2020. L'appelante s'y est tout d'abord opposée, avant de se rallier à cette solution dans ses écritures du 14 juillet 2023, conformément aux recommandations des intervenants et au souhait exprimé par l'enfant. Cela étant, les dissensions entre les parties n'ont fait que s'accroître au fil du temps, malgré les mesures mises en place par le Tribunal et les différents services durant la procédure de divorce. Face à la persistance du conflit parental, les différents intervenants se sont déclarés démunis pour agir dans l'intérêt de l'enfant, dont la souffrance résultant de l'incapacité de ses parents à dépasser leur mésentente a été mise en exergue à de multiples reprises. En juillet et septembre 2023, l'appelante a alerté le SPMi, faisant état de propos dépressifs dont F______ aurait fait état sur la plateforme Tik-Tok et de prétendues scarifications que celui-ci se serait infligées, lesquelles n'ont pas pu être objectivées. L'intimé a alors sollicité la garde exclusive sur F______, estimant que l'appelante, par son attitude surprotectrice, mettait ce dernier en danger "psychologique".</w:t>
      </w:r>
    </w:p>
    <w:p>
      <w:r>
        <w:t>- 13/16 -</w:t>
      </w:r>
    </w:p>
    <w:p>
      <w:r>
        <w:t>C/16347/2020 F______ âgé de 12 ans a manifesté clairement son souhait de vivre avec son père, solution également préconisée par la curatrice de représentation de l'enfant désignée par le Tribunal de protection. L'ordonnance entreprise, rendue le 28 juin 2024, est exécutoire depuis cette date, de sorte qu'il est vraisemblable qu'à tout le moins depuis la rentrée scolaire de septembre 2024, l'intimé exerce la garde exclusive sur F______, un droit de visite étant réservé à l'appelante. L'éducateur AEMO a établi un premier rapport en juillet 2024, dont il ressort certes une amélioration des rapports mère-fils, mais néanmoins une persistance des tensions. On comprend également que l'appelante fait des efforts pour améliorer "sa compréhension de la situation" et est ouverte "à modifier ses méthodes d'intervention". Cela étant, l'objectif visant à ce qu'elle modifie sa posture éducative et sa relation à son fils demeure. Ainsi, face à l'incapacité des parents à préserver leur fils de leur conflit conjugal, la garde alternée ne contribuant vraisemblablement qu'à accentuer celui-ci, et au vu de l'impuissance des différents intervenants à aider F______, dont la souffrance est évidente et va également s'accroissant, c'est à bon droit que le Tribunal a décidé qu'il était dans l'intérêt de l'enfant d'opérer un changement dans sa situation et qu'il devait être mis fin à la garde alternée. Si les capacités parentales des deux parents ne semblent pas remises en cause, F______ a toujours vécu et été scolarisé en France, où il a vraisemblablement de nombreuses attaches. Sa sœur aînée, qui n'a plus de contacts avec leur mère, vit également dans l'ancienne maison familiale en France, même si elle étudie depuis peu à O______ [France]. F______ a manifesté clairement son souhait de vivre avec son père. Certes, il a déclaré à l'éducateur AEMO qu'il se sentait bien chez sa mère et que les tensions avec celle-ci s'étaient atténuées. Cela ne saurait suffire, en l'état, à justifier le maintien d'une garde alternée. En effet, après toutes ces années de tensions et de souffrance, il paraît dans son intérêt qu'il demeure la majeure partie du temps avec son père, en France, tout en poursuivant le travail psychothérapeutique commencé récemment. Cela devrait vraisemblablement l'aider à se distancer du conflit parental et apaiser ses souffrances. Il est aussi important que sa mère poursuive les objectifs fixés avec l'éducateur AEMO et que les autres effets accessoires du divorce, également source de conflit, soient réglés avant qu'il ne soit procédé à nouvel examen de la situation, cas échéant après l'ordonnance d'une expertise familiale. Enfin, en décider autrement reviendrait à modifier une situation qui perdure depuis plusieurs mois, ce qui n'est manifestement pas dans l'intérêt de l'enfant. Au vu des considérations qui précèdent, les chiffres 1 et 2 du dispositif de l'ordonnance entreprise seront confirmés.</w:t>
      </w:r>
    </w:p>
    <w:p>
      <w:r>
        <w:t>- 14/16 -</w:t>
      </w:r>
    </w:p>
    <w:p>
      <w:r>
        <w:t>C/16347/2020</w:t>
      </w:r>
    </w:p>
    <w:p>
      <w:r>
        <w:rPr>
          <w:b/>
        </w:rPr>
        <w:t>E. 5</w:t>
      </w:r>
    </w:p>
    <w:p>
      <w:r>
        <w:t>L'appelante fait également grief au Tribunal d'avoir réduit la contribution à son entretien, en retentant à tort que son loyer avait baissé, alors qu'elle verse 2'200 fr. à ce titre.</w:t>
      </w:r>
    </w:p>
    <w:p>
      <w:r>
        <w:rPr>
          <w:b/>
        </w:rPr>
        <w:t>E. 5.1</w:t>
      </w:r>
    </w:p>
    <w:p>
      <w:r>
        <w:t>Dans le cadre d'une procédure de divorce (art. 274 ss CPC), le Tribunal ordonne les mesures provisionnelles nécessaires. Les dispositions régissant la protection de l'union conjugale sont applicables par analogie (art. 276 al. 1 CPC). Selon l'art. 176 al. 1 ch. 1 CC, le juge fixe, sur requête, la contribution d'entretien à verser à un époux si la suspension de la vie commune est fondée. Dans trois arrêts désormais publiés, le Tribunal fédéral a posé, pour toute la Suisse, une méthode de calcul uniforme des contributions d'entretien du droit de la famille, dite en deux étapes avec répartition de l'excédent (ATF 147 III 265, in SJ 2021 I 316, 147 III 293 et 147 III 301). Selon cette méthode,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répartir l'éventuel excédent (ATF 147 III 265 consid. 7, in SJ 2021 I 316). Le Tribunal fédéral a relevé que l'application de cette méthode était désormais obligatoire, sauf en présence de circonstances exceptionnelles exigeant une approche différente, telle qu'une situation financière particulièrement favorable. Il serait en effet contraire à l'objectif d'uniformisation de la méthode de calcul des contributions d'entretien d'utiliser encore d'autres méthodes de calcul à l'avenir, d'autant plus que cette méthode permet de tenir compte des particularités du cas d'espèce dans presque toutes les situations (ATF 147 III 293, consid. 4.5).</w:t>
      </w:r>
    </w:p>
    <w:p>
      <w:r>
        <w:rPr>
          <w:b/>
        </w:rPr>
        <w:t>E. 5.2</w:t>
      </w:r>
    </w:p>
    <w:p>
      <w:r>
        <w:t>En l'espèce, seul est litigieux le montant du loyer pris en compte dans les charges de l'appelante, lequel a une incidence sur l'excédent à partager, point qui n'est pas remis en cause dans son principe.</w:t>
      </w:r>
    </w:p>
    <w:p>
      <w:r>
        <w:t>Il ressort des pièces produites que le loyer de l'appelante, pris en compte à raison de 1'950 fr. par mois, charges comprises, dans l'arrêt de la Cour du 10 février 2022, doit être réduit à 1'347 fr. 50, selon décision de l'Office cantonal du logement. Certes, l'appelante a encore versé un montant de 2'200 fr. à son bailleur en août 2024. Cependant, cela ne suffit pas à retenir, sous l'angle de la vraisemblance, qu'elle a continué ou continuera à payer ce montant à l'avenir. Il est en effet vraisemblable qu'un correctif sera apporté prochainement, en application de la décision de l'Office cantonal du logement, qui plus est avec effet rétroactif. En tout état, il est acquis que l'intimé a perdu son emploi. Ses revenus ont ou vont en conséquence très vraisemblablement diminuer. A cela s'ajoute qu'au terme du présent arrêt la décision de confier la garde exclusive de F______ à son père est confirmée, et qu'en conséquence il est mis fin à la garde alternée.</w:t>
      </w:r>
    </w:p>
    <w:p>
      <w:r>
        <w:t>- 15/16 -</w:t>
      </w:r>
    </w:p>
    <w:p>
      <w:r>
        <w:t>C/16347/2020 Au vu de tous ces éléments, c'est à bon droit que le Tribunal a considéré que l'excédent du couple avait diminué et a réduit en conséquence la contribution due par l'intimé à l'entretien de l'appelante, étant relevé que celle-ci continue de percevoir les prestations AI versées aux enfants dont elle n'a pas la garde. Le montant réduit retenu par le Tribunal n'est pas contesté par l'intimé qui n'a pas fait appel. Le chiffre 3 du dispositif de l'ordonnance entreprise sera en conséquence également confirmé.</w:t>
      </w:r>
    </w:p>
    <w:p>
      <w:r>
        <w:rPr>
          <w:b/>
        </w:rPr>
        <w:t>E. 6</w:t>
      </w:r>
    </w:p>
    <w:p>
      <w:r>
        <w:t>L'appelante, qui succombe entièrement, sera condamnée aux frais de la procédure d'appel, arrêtés à 800 fr., lesquels seront compensés avec l'avance opérée, acquise à l'Etat.</w:t>
      </w:r>
    </w:p>
    <w:p>
      <w:r>
        <w:t>Elle sera en outre condamnée à verser à l'intimé 800 fr. à titre de dépens d'appel. * * * * *</w:t>
      </w:r>
    </w:p>
    <w:p>
      <w:r>
        <w:t>- 16/16 -</w:t>
      </w:r>
    </w:p>
    <w:p>
      <w:r>
        <w:t>C/16347/2020 PAR CES MOTIFS, La Chambre civile : A la forme : Déclare recevable l'appel interjeté le 11 juillet 2024 par A______ contre l'ordonnance OTPI/414/2024 rendue le 28 juin 2024 par le Tribunal de première instance dans la cause C/16347/2020. Au fond : Confirme cette ordonnance. Déboute les parties de toutes autres conclusions. Sur les frais : Arrête les frais d'appel à 800 fr., les met à la charge de A______ et dit qu'ils sont compensés avec l'avance fournie, acquise à l'Etat de Genève. Condamne A______ à verser à B______ la somme de 800 fr. à titre de dépens d'appel. Siégeant : Monsieur Cédric-Laurent MICHEL, président; Madame Pauline ERARD, Madame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