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ACJC/1385/2023 vom 18. Oktober 2023</w:t>
      </w:r>
    </w:p>
    <w:p>
      <w:r>
        <w:t>GE Cour de justice, 2023-10-18, FR</w:t>
      </w:r>
    </w:p>
    <w:p>
      <w:r>
        <w:rPr>
          <w:b/>
        </w:rPr>
        <w:t xml:space="preserve">Quelle: </w:t>
      </w:r>
      <w:r>
        <w:t>https://mcp.opencaselaw.ch/entscheid/ge_gerichte_ACJC_1385_2023</w:t>
      </w:r>
    </w:p>
    <w:p>
      <w:r>
        <w:t>FR: GE_GERICHTE ACJC/1385/2023 du 18 octobre 2023</w:t>
      </w:r>
    </w:p>
    <w:p>
      <w:r>
        <w:t>IT: GE_GERICHTE ACJC/1385/2023 del 18 ottobre 2023</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Déposé dans le délai utile et selon la forme prescrite par la loi (art. 130 al. 1, 131 et 311 al. 1 CPC), l'appel est recevable.</w:t>
      </w:r>
    </w:p>
    <w:p>
      <w:r>
        <w:rPr>
          <w:b/>
        </w:rPr>
        <w:t>E. 2</w:t>
      </w:r>
    </w:p>
    <w:p>
      <w:r>
        <w:t>La Cour revoit la cause en fait et en droit avec un plein pouvoir d'examen (art. 310 CPC), mais uniquement dans la limite des griefs motivés qui sont formulés (ATF 142 III 413 consid. 2.2.4).</w:t>
      </w:r>
    </w:p>
    <w:p>
      <w:r>
        <w:t>Elle applique la maxime des débats et le principe de disposition (art. 55 al. 1, 58 al. 1 et 247 al. 1 CPC).</w:t>
      </w:r>
    </w:p>
    <w:p>
      <w:r>
        <w:rPr>
          <w:b/>
        </w:rPr>
        <w:t>E. 3</w:t>
      </w:r>
    </w:p>
    <w:p>
      <w:r>
        <w:t>L'appelante fait grief au Tribunal d'avoir renoncé à établir le contenu du droit étranger applicable au contrat d'affrètement du 10 avril 2018.</w:t>
      </w:r>
    </w:p>
    <w:p>
      <w:r>
        <w:t>3.1.1 A défaut d'élection de droit, le contrat est régi par le droit de l'Etat avec lequel il présente les liens les plus étroits. Ces liens sont réputés exister avec l'Etat dans lequel la partie qui doit fournir la prestation caractéristique a sa résidence habituelle ou son siège (art. 117 al. 1 et 2 LDIP).</w:t>
      </w:r>
    </w:p>
    <w:p>
      <w:r>
        <w:t>Le contrat d'affrètement est un contrat par lequel le fréteur s'oblige à mettre à disposition de l'autre, l'affréteur, moyennant rémunération, tout ou partie de la contenance d'un moyen de transport en conservant la possession et le contrôle de celui-ci (arrêt du Tribunal fédéral 4A_641/2010 du 23 février 2011 consid. 3.2; TERCIER, Les contrats spéciaux, 2016, n° 5720).</w:t>
      </w:r>
    </w:p>
    <w:p>
      <w:r>
        <w:t>- 6/11 -</w:t>
      </w:r>
    </w:p>
    <w:p>
      <w:r>
        <w:t>C/463/2020</w:t>
      </w:r>
    </w:p>
    <w:p>
      <w:r>
        <w:t>3.1.2 Aux termes de l'art. 16 al. 1 LDIP, le contenu du droit étranger est établi d'office. A cet effet, la collaboration des parties peut être requise. En matière patrimoniale, la preuve peut être mise à la charge des parties.</w:t>
      </w:r>
    </w:p>
    <w:p>
      <w:r>
        <w:t>Le droit suisse s'applique si le contenu du droit étranger ne peut pas être établi (art. 16 al. 2 LDIP).</w:t>
      </w:r>
    </w:p>
    <w:p>
      <w:r>
        <w:t>L'alinéa 1 de cet article consacre l'obligation pour le juge d'établir d'office le droit étranger (ATF 118 II 83 consid. 2a) sans s'en remettre au bon vouloir des parties, auxquelles il doit toutefois donner la possibilité de s'exprimer quant au droit applicable à un stade de la procédure qui précède l'application de ce droit (ATF 121 III 436 consid. 5a). Le juge doit ainsi déterminer le contenu du droit étranger en s'inspirant des sources de celui-ci, c'est-à-dire la législation, la jurisprudence et éventuellement la doctrine; ce devoir vaut aussi lorsqu'il s'agit d'établir le droit d'un pays non voisin, en recourant à l'assistance que peuvent fournir les instituts et services spécialisés compétents, tel que l'Institut suisse de droit comparé (ATF 121 III 436 consid. 5b). Il doit donc d'abord chercher à établir lui-même le droit étranger (art. 16 al. 1, 1ère phrase, LDIP). Il dispose néanmoins de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de cette proximité, des informations sur le droit applicable. Il peut également, dans les affaires patrimoniales, mettre la preuve du droit étranger à la charge des parties (art. 16 al. 1, 3ème phrase, LDIP). Néanmoins, même si les parties n'apportent pas la preuve du droit étranger, le juge doit, conformément au principe "jura novit curia", chercher à déterminer ce droit dans la mesure où cela n'apparaît ni intolérable, ni disproportionné. Ce n'est que lorsque les efforts entrepris ne conduisent pas à un résultat fiable, que le juge peut appliquer le droit suisse en lieu et place du droit étranger normalement applicable (art. 16 al. 2 LDIP); il en va de même lorsque subsistent des doutes sérieux à propos du résultat obtenu (ATF 128 III 346 consid. 3.2.1; arrêt du Tribunal fédéral 5A_193/2010 du 7 juillet 2010 consid. 2.3). L'emploi du terme "preuve" est donc impropre, dans la mesure où il ne s'agit pas d'une preuve au sens strict, la norme étrangère étant une règle de droit (ATF 138 III 232 consid. 4.2.4; 124 I 49 consid. 3c; 119 II 93 consid. 2c/bb), et que l'exception de l'art. 16 al. 1, 3ème phrase, LDIP n'a donc pas pour objet le fardeau objectif de la preuve, entraînant le cas échéant la perte du droit invoqué, mais l'application du droit suisse à titre supplétif (BUCHER, Commentaire romand LDIP, 2011, n° 16 ad art. 16 LDIP; DUTOIT, Droit international privé suisse, Commentaire LDIP, 2005, n° 7 ad art. 16 LDIP; MÄCHLER-ERNE/WOLF-METTIER, Basler Kommentar, Internationales Privatrecht, 2021, n° 14 ad art. 16 LDIP; SCHRAMM/BUHR, Handkommentar zum Schweizer Privatrecht, Internationales Privatrecht, 2012, n° 13 ad art. 16 LDIP).</w:t>
      </w:r>
    </w:p>
    <w:p>
      <w:r>
        <w:t>- 7/11 -</w:t>
      </w:r>
    </w:p>
    <w:p>
      <w:r>
        <w:t>C/463/2020</w:t>
      </w:r>
    </w:p>
    <w:p>
      <w:r>
        <w:t>3.1.3. Le juge doit mettre en œuvre les moyens d'investigation qui sont à sa disposition. Il consulte les ouvrages, recueils et documents électroniques accessibles et il recourt à l'avis d'experts, suisses ou étrangers. Dans la pratique, cependant, le juge ne peut souvent guère aller plus loin que de s'appuyer sur les éléments fournis par les parties et la documentation, en général plutôt rudimentaire, dont dispose le tribunal et la bibliothèque scientifique la plus proche. Il ne prendra pas aisément l'initiative de recueillir l'avis d'un expert qu'aucune des parties n'a jugé utile de produire ou de suggérer. Il est illusoire de solliciter des renseignements auprès de l'Office fédéral de la justice ou des services diplomatiques suisses ou étrangers, comme le pense le Tribunal fédéral, en citant la doctrine mais sans consulter les services concernés, ni l'état de leur personnel, respectivement de leur budget (ATF 124 I 49 consid. 3b). L'office du juge implique, cependant, que pour renoncer à l'application du droit étranger, la méconnaissance de ce droit ou les difficultés rencontrées doivent être réelles (ATF 121 III 436 consid. 5a; arrêt du Tribunal fédéral 5A_193/2010 précité consid. 2.3; BUCHER, op. cit., n° 5 ad art. 16 LDIP).</w:t>
      </w:r>
    </w:p>
    <w:p>
      <w:r>
        <w:t>Le juge peut requérir la collaboration des parties, dans la mesure où elles ne l'auraient pas déjà offerte spontanément. Les parties disposent en général de facilités meilleures que celles du juge pour obtenir des renseignements directement dans le pays étranger concerné. Le juge dispose d'une grande latitude dans sa décision de solliciter ou non le concours des parties ou de l'une d'elles (BUCHER, op cit. n° 14 ad art. 16 LDIP).</w:t>
      </w:r>
    </w:p>
    <w:p>
      <w:r>
        <w:t>Pour constater l'absence d'une connaissance suffisante du droit étranger, le juge doit s'en remettre à sa propre appréciation de la qualité des recherches entreprises et de la pertinence des renseignements récoltés. C'est une question de vraisemblance et non de certitude; le juge ne peut avoir la certitude de ce qu'il ignore (BUCHER, op. cit., n° 23 ad art. 16 LDIP).</w:t>
      </w:r>
    </w:p>
    <w:p>
      <w:r>
        <w:rPr>
          <w:b/>
        </w:rPr>
        <w:t>E. 3.2</w:t>
      </w:r>
    </w:p>
    <w:p>
      <w:r>
        <w:t>En l'espèce, les parties ne contestent pas que le droit applicable au contrat d'affrètement litigieux est, en principe, le droit marshallais.</w:t>
      </w:r>
    </w:p>
    <w:p>
      <w:r>
        <w:t>Contrairement à ce que soutient l'appelante, le premier juge n'a pas refusé d'établir le contenu de ce droit étranger, mais a considéré que l'établissement de celui-ci n'était pas aisé, au motif notamment qu'il était fondé sur la tradition de la Common Law. En effet, dans ce système juridique, les règles sont principalement édictées par les tribunaux au fur et à mesure des décisions individuelles. La jurisprudence est ainsi la principale source du droit. Or, à l'instar de la Cour, le premier juge n'a pas trouvé de sources informatiques officielles de cet Etat de Micronésie répertoriant la jurisprudence ou permettant de déterminer de manière certaine les dispositions applicables au cas d'espèce. Ainsi, les recherches sur internet effectuées par le premier juge n'ont pas permis d'aboutir à un résultat</w:t>
      </w:r>
    </w:p>
    <w:p>
      <w:r>
        <w:t>- 8/11 -</w:t>
      </w:r>
    </w:p>
    <w:p>
      <w:r>
        <w:t>C/463/2020 fiable quant au contenu du droit marshallais, ce qui ressort de la motivation du jugement entrepris.</w:t>
      </w:r>
    </w:p>
    <w:p>
      <w:r>
        <w:t>Par ailleurs, il n'existe pas de documentation utile sur le droit applicable aux Iles Marshall à la bibliothèque du Pouvoir judiciaire de Genève ou encore dans les nombreuses bibliothèques académiques suisses référencées dans le catalogue "swisscovery".</w:t>
      </w:r>
    </w:p>
    <w:p>
      <w:r>
        <w:t>Contrairement à ce que soutient l'appelante, il ne saurait être reproché au premier juge de ne pas avoir sollicité des renseignements auprès d'experts, en particulier l'Institut suisse de droit comparé, sur le contenu du droit marshallais. En effet, le premier juge était fondé à réduire l'ampleur des démarches normalement requises et ne pas engager de recherches supplémentaires, engendrant des coûts importants et rallongeant inutilement la procédure, compte tenu du montant de la créance litigieuse, des enjeux du litige - l'exécution du contrat par l'intimée n'étant aucunement remise en cause - ou encore du défaut de l'appelante tout au long de la procédure de première instance.</w:t>
      </w:r>
    </w:p>
    <w:p>
      <w:r>
        <w:t>L'appelante soutient encore que le premier juge aurait dû solliciter la collaboration de l'intimée pour établir le contenu du droit étranger, celle-ci ayant son siège aux Iles Marshall. Cela étant, la précitée a, dans sa demande du 16 octobre 2020, allégué que, malgré ses recherches informatiques, elle n'avait pas pu identifier les dispositions applicables au présent cas. Or, ce résultat correspond à celui des recherches effectuées par le premier juge. Il ne pouvait donc pas attendre de l'intimée qu'elle contribue à déterminer de manière fiable le contenu du droit marshallais. Par ailleurs, cette critique est d'autant moins fondée que l'appelante n'a pas souhaité participer à la procédure de première instance, alors qu'elle connaissait la problématique du droit applicable, la demande de l'intimée lui ayant été dûment notifiée, ce qui n'est pas contesté. L'appelante a ainsi renoncé à établir le contenu du droit étranger dans le cadre du procès.</w:t>
      </w:r>
    </w:p>
    <w:p>
      <w:r>
        <w:t>Dans son appel, l'appelante ne fournit d'ailleurs aucun élément concernant le contenu du droit marshallais et elle ne soutient pas que l'application de celui-ci aurait eu pour conséquence de modifier l'issue du litige, ce qui semble peu vraisemblable. En effet, l'appelante ne conteste pas que l'intimée a exécuté ses obligations découlant du contrat d'affrètement litigieux et qu'elle-même ne s'est pas acquittée du montant dû pour le transport de sa marchandise.</w:t>
      </w:r>
    </w:p>
    <w:p>
      <w:r>
        <w:t>Compte tenu de l'ensemble de ce qui précède, le premier juge était fondé à retenir l'impossibilité objective de parvenir à une connaissance suffisante du droit marshallais, les recherches effectuées - et exigibles vu les circonstances - n'ayant pas permis d'identifier les dispositions applicables au présent litige, la jurisprudence y relative et d'aboutir ainsi à un résultat fiable.</w:t>
      </w:r>
    </w:p>
    <w:p>
      <w:r>
        <w:t>Le droit suisse pouvait donc être appliqué à titre supplétif.</w:t>
      </w:r>
    </w:p>
    <w:p>
      <w:r>
        <w:t>- 9/11 -</w:t>
      </w:r>
    </w:p>
    <w:p>
      <w:r>
        <w:t>C/463/2020</w:t>
      </w:r>
    </w:p>
    <w:p>
      <w:r>
        <w:rPr>
          <w:b/>
        </w:rPr>
        <w:t>E. 4</w:t>
      </w:r>
    </w:p>
    <w:p>
      <w:r>
        <w:t>juillet 2018, comme retenu par le premier juge. Celui-ci était ainsi également fondé à prononcer la mainlevée définitive de l'opposition formée au commandement de payer, poursuite n° 1______.</w:t>
      </w:r>
    </w:p>
    <w:p>
      <w:r>
        <w:t>Partant, le jugement entrepris sera entièrement confirmé.</w:t>
      </w:r>
    </w:p>
    <w:p>
      <w:r>
        <w:rPr>
          <w:b/>
        </w:rPr>
        <w:t>E. 4.2</w:t>
      </w:r>
    </w:p>
    <w:p>
      <w:r>
        <w:t>En l'espèce, l'appelante soutient que les parties avaient convenu de soumettre le contrat d'affrètement litigieux, négocié le 10 avril 2018, à la forme écrite. Celui- ci n'ayant pas été signé par les parties, il n'était pas valable.</w:t>
      </w:r>
    </w:p>
    <w:p>
      <w:r>
        <w:t>Or, aucun élément du dossier ne permet de retenir que les parties souhaitaient soumettre le contrat susvisé à la forme écrite. En effet, contrairement à ce que</w:t>
      </w:r>
    </w:p>
    <w:p>
      <w:r>
        <w:t>- 10/11 -</w:t>
      </w:r>
    </w:p>
    <w:p>
      <w:r>
        <w:t>C/463/2020 soutient l'appelante, il n'est pas établi, par les pièces produites, que deux exemplaires dudit contrat lui auraient été envoyés par l'intimée pour signature.</w:t>
      </w:r>
    </w:p>
    <w:p>
      <w:r>
        <w:t>Par ailleurs, l'appelante n'a pas indiqué à l'intimée ne pas être liée par le contrat d'affrètement du 10 avril 2018 que ce soit durant l'exécution de celui-ci par la précitée entre le 12 avril et le 2 juin 2018 - étant relevé que la marchandise en question a été remise à l'intimée pour qu'elle effectue le transport convenu entre la Bulgarie et la Chine et que celle-ci a été réceptionnée - ou encore lors de la facturation ou de la mise en demeure de l'intimée en juin 2018, respectivement septembre 2019.</w:t>
      </w:r>
    </w:p>
    <w:p>
      <w:r>
        <w:t>Il se justifie ainsi d'admettre que les parties n'avaient pas soumis le contrat litigieux à la forme écrite et que, par conséquent, l'absence de signature de celui-ci n'est pas déterminante.</w:t>
      </w:r>
    </w:p>
    <w:p>
      <w:r>
        <w:t>La nature de l'affaire ne permet pas non plus de retenir une présomption légale en faveur de la forme écrite, comme soutenu par l'appelante. En effet, l'art. 94 al. 2 LNM évoque une possibilité et non une obligation.</w:t>
      </w:r>
    </w:p>
    <w:p>
      <w:r>
        <w:t>L'appelante n'ayant, à aucun moment, allégué que le contrat litigieux n'avait pas été exécuté ou avait été mal exécuté par l'intimée, la rémunération de celle-ci est due, soit le montant non contesté de 52'01804 USD, avec intérêts à 5% dès le</w:t>
      </w:r>
    </w:p>
    <w:p>
      <w:r>
        <w:rPr>
          <w:b/>
        </w:rPr>
        <w:t>E. 5</w:t>
      </w:r>
    </w:p>
    <w:p>
      <w:r>
        <w:t>Les frais judiciaires d'appel seront arrêtés à 4'500 fr. (art. 17 et 35 RTFMC) et mis à la charge de l'appelante, qui succombe (art. 106 al. 1 CPC). Ils seront compensés avec l'avance de même montant versée par celle-ci, qui reste acquise à l'Etat de Genève (art. 111 al. 1 CPC).</w:t>
      </w:r>
    </w:p>
    <w:p>
      <w:r>
        <w:t>L'appelante sera, en outre, condamnée à verser 4'770 fr. à l'intimée à titre de dépens d'appel (art. 105 al. 2, 111 al. 2 CPC; art. 84, 85 al. 1 et 90 RTFMC; art. 23 al. 1 LaCC), débours compris mais hors TVA, vu le siège à l'étranger de l'intimée (ATF 141 IV 344 consid. 4.1; arrêt du Tribunal fédéral 4A_623/2015 du 3 mars 2016). Les sûretés d'un même montant versées par l'appelante seront ainsi entièrement libérées en mains de l'intimée. * * * * *</w:t>
      </w:r>
    </w:p>
    <w:p>
      <w:r>
        <w:t>- 11/11 -</w:t>
      </w:r>
    </w:p>
    <w:p>
      <w:r>
        <w:t>C/463/2020 PAR CES MOTIFS, La Chambre civile : A la forme : Déclare recevable l'appel interjeté le 2 novembre 2022 par A______ SA contre le jugement JTPI/8578/2022 rendu le 13 juillet 2022 par le Tribunal de première instance dans la cause C/463/2020. Au fond : Confirme le jugement entrepris. Déboute les parties de toutes autres conclusions. Sur les frais : Arrête les frais judiciaires d'appel à 4'500 fr. et les compense entièrement avec l'avance versée par A______ SA, qui reste acquise à l'Etat de Genève. Condamne A______ SA à verser 4'770 fr. à C______ LTD à titre de dépens d'appel. Ordonne la libération des sûretés versées par A______ SA, soit 4'770 fr., en faveur de C______ LTD.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