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ACJC/1374/2023 vom 16. Oktober 2023</w:t>
      </w:r>
    </w:p>
    <w:p>
      <w:r>
        <w:t>GE Cour de justice, 2023-10-16, FR</w:t>
      </w:r>
    </w:p>
    <w:p>
      <w:r>
        <w:rPr>
          <w:b/>
        </w:rPr>
        <w:t xml:space="preserve">Quelle: </w:t>
      </w:r>
      <w:r>
        <w:t>https://mcp.opencaselaw.ch/entscheid/ge_gerichte_ACJC_1374_2023</w:t>
      </w:r>
    </w:p>
    <w:p>
      <w:r>
        <w:t>FR: GE_GERICHTE ACJC/1374/2023 du 16 octobre 2023</w:t>
      </w:r>
    </w:p>
    <w:p>
      <w:r>
        <w:t>IT: GE_GERICHTE ACJC/1374/2023 del 16 ottobre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w:t>
      </w:r>
    </w:p>
    <w:p>
      <w:r>
        <w:rPr>
          <w:b/>
        </w:rPr>
        <w:t>E. 1.2</w:t>
      </w:r>
    </w:p>
    <w:p>
      <w:r>
        <w:t>En l'espèce, la partie appelante a conclu, dans ses dernières conclusions prises devant le Tribunal, à la condamnation des parties intimées au paiement des sommes de 600'000 fr. et de 16'800 fr. La valeur litigieuse est ainsi supérieure à 10'000 fr.</w:t>
      </w:r>
    </w:p>
    <w:p>
      <w:r>
        <w:rPr>
          <w:b/>
        </w:rPr>
        <w:t>E. 1.3</w:t>
      </w:r>
    </w:p>
    <w:p>
      <w:r>
        <w:t>Selon l'art. 311 al. 1 et 2 CPC, l'appel, écrit et motivé, est introduit auprès de l'instance d'appel dans les 30 jours à compter de la notification de la décision, laquelle doit être jointe au dossier. La partie adverse peut former un appel joint dans la réponse (art. 313 al. 1 CPC). L'appel et l'appel joint ont été interjetés dans les délais et suivant la forme prescrits par la loi (art. 130, 131, 311 al. 1 et 313 al. 1 CPC). Ils sont ainsi recevables. En revanche, l'appel joint, en tant qu'il est dirigé contre K______, est irrecevable, la question de la titularité de bail ayant d'ores et déjà été tranchée.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- 11/13 -</w:t>
      </w:r>
    </w:p>
    <w:p>
      <w:r>
        <w:t>C/3334/2017 première instance (art. 157 CPC en relation avec l'art. 310 let. b CPC) et vérifie si celui-ci pouvait admettre les faits qu'il a retenus (ATF 138 III 374 consid. 4.3.1). La requête de l'appelante tendant à la réformation complète de l'état de fait du Tribunal n'est pas suffisamment motivée par le simple renvoi à ses allégués de première instance et en l'absence de toute indication des faits qui auraient été constatés de manière inexacte.</w:t>
      </w:r>
    </w:p>
    <w:p>
      <w:r>
        <w:rPr>
          <w:b/>
        </w:rPr>
        <w:t>E. 2</w:t>
      </w:r>
    </w:p>
    <w:p>
      <w:r>
        <w:t>Les intimés font grief au Tribunal d'avoir violé les règles sur la conclusion et la forme du contrat en considérant que le bail avait été transféré à A______ à compter du 1er janvier 2008. L'appelante fait grief au Tribunal d'avoir violé son droit d'être entendue en ne motivant pas suffisamment le jugement ainsi que le droit en excluant toute indemnisation de la part de la bailleresse.</w:t>
      </w:r>
    </w:p>
    <w:p>
      <w:r>
        <w:t>Ces questions ont déjà été tranchées aux considérants 2 et 3 de l'ACJC/31/2022. Il y sera dès lors renvoyé.</w:t>
      </w:r>
    </w:p>
    <w:p>
      <w:r>
        <w:rPr>
          <w:b/>
        </w:rPr>
        <w:t>E. 3</w:t>
      </w:r>
    </w:p>
    <w:p>
      <w:r>
        <w:t>L'appelante fait en outre grief au Tribunal de ne lui avoir octroyé qu'une réduction de loyer de 15% du 8 mars au 8 avril 2016 et de lui avoir refusé toute réduction de loyer du 1er septembre au 31 octobre 2016 alors que les défauts étaient d'importance et que la bailleresse avait, par courrier du 22 décembre 2016, accepté une réduction de loyer plus importante s'agissant de la première période et que des défauts subsistaient dans le logement pendant la seconde période.</w:t>
      </w:r>
    </w:p>
    <w:p>
      <w:r>
        <w:rPr>
          <w:b/>
        </w:rPr>
        <w:t>E. 3.1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4C_387/2004 du 17 mars 2005 consid. 2.1; WESSNER, Le bail à loyer et les nuisances causées par des tiers en droit privé, in 12ème Séminaire sur le droit du bail, 2002, p. 23 s.; HIGI, Zürcher Kommentar, 1994, n° 28 ad art. 258 CO). Des défauts de moyenne importance et des défauts graves ouvrent au locataire les droits prévus à l'art. 259a CO, en particulier la remise en état de la chose (al. 1 let. a) et la réduction du loyer (al. 1 let. b) (arrêt du Tribunal fédéral 4A_395/2017 du 11 octobre 2018 consid. 5.2). La réduction du loyer est</w:t>
      </w:r>
    </w:p>
    <w:p>
      <w:r>
        <w:t>- 12/13 -</w:t>
      </w:r>
    </w:p>
    <w:p>
      <w:r>
        <w:t>C/3334/2017 proportionnelle au défaut; elle est due à partir du moment où le bailleur a eu connaissance du défaut et jusqu'à l'élimination de ce dernier (art. 259d CO).</w:t>
      </w:r>
    </w:p>
    <w:p>
      <w:r>
        <w:rPr>
          <w:b/>
        </w:rPr>
        <w:t>E. 3.2</w:t>
      </w:r>
    </w:p>
    <w:p>
      <w:r>
        <w:t>En l'espèce, la quotité de réduction de loyer octroyée par le Tribunal n'est pas critiquable au vu des défauts ainsi que de la taille du logement. Le courrier dont se prévaut l'appelante, selon lequel la bailleresse avait accepté une quotité de réduction de loyer de 50%, ne lui est d'aucun secours car il n'indique pas pour quelle période la participation est proposée. Au demeurant, au vu de la jurisprudence, une réduction de loyer de 50% serait excessive. En ce qui concerne les défauts qui auraient affecté le logement du 1er septembre au 31 octobre 2016, il n'est pas établi que la bailleresse en ait été informée. Le fait que le robinet de l'une des salles de bains ait été réparé le 11 octobre 2016 ne signifie pas, comme le soutient l'appelante, que la bailleresse était informée du défaut. Tout porte au contraire à croire que c'est suite à l'intervention de l'architecte des copropriétaires du 2ème étage, d'où provenait le dégât d'eau, que ce défaut a été réparé. Il n'est au surplus pas établi que les défauts résiduels, qui apparaissaient d'importance mineure, aient subsisté jusqu'à l'état des lieux de sortie. En effet, ces défauts ne sont pas spécifiés dans le constat d'état des lieux de sortie, au terme duquel l'appartement est repris en l'état. Le grief de l'appelante sera donc rejeté et les chiffres 2 et 3 du jugement entrepris confirmés.</w:t>
      </w:r>
    </w:p>
    <w:p>
      <w:r>
        <w:rPr>
          <w:b/>
        </w:rPr>
        <w:t>E. 4</w:t>
      </w:r>
    </w:p>
    <w:p>
      <w:r>
        <w:t>A teneur de l'art. 22 al. 1 LaCC, il n'est pas prélevé de frais dans les causes soumises à la juridiction des baux et loyers (ATF 139 III 182 consid. 2.6). * * * * *</w:t>
      </w:r>
    </w:p>
    <w:p>
      <w:r>
        <w:t>- 13/13 -</w:t>
      </w:r>
    </w:p>
    <w:p>
      <w:r>
        <w:t>C/3334/2017</w:t>
      </w:r>
    </w:p>
    <w:p>
      <w:r>
        <w:t>PAR CES MOTIFS, La Chambre des baux et loyers : A la forme : Déclare recevable l'appel interjeté le 29 juin 2022 par A______ contre le jugement JTBL/401/2022 rendu le 24 mai 2022 par le Tribunal des baux et loyers dans la cause C/3334/2017-24-OOD. Déclare recevable l'appel joint interjeté le 5 septembre 2022 par C______, D______, E______, F______, G______, H______ et I______ contre le jugement entrepris. Au fond : Confirme le jugement entrepris.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