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ACJC/1374/2018 vom 9. Oktober 2018</w:t>
      </w:r>
    </w:p>
    <w:p>
      <w:r>
        <w:t>GE Cour de justice, 2018-10-09, FR</w:t>
      </w:r>
    </w:p>
    <w:p>
      <w:r>
        <w:rPr>
          <w:b/>
        </w:rPr>
        <w:t xml:space="preserve">Quelle: </w:t>
      </w:r>
      <w:r>
        <w:t>https://mcp.opencaselaw.ch/entscheid/ge_gerichte_ACJC_1374_2018</w:t>
      </w:r>
    </w:p>
    <w:p>
      <w:r>
        <w:t>FR: GE_GERICHTE ACJC/1374/2018 du 9 octobre 2018</w:t>
      </w:r>
    </w:p>
    <w:p>
      <w:r>
        <w:t>IT: GE_GERICHTE ACJC/1374/2018 del 9 ottobre 2018</w:t>
      </w:r>
    </w:p>
    <w:p>
      <w:pPr>
        <w:pStyle w:val="Heading2"/>
      </w:pPr>
      <w:r>
        <w:t>Erwägungen</w:t>
      </w:r>
    </w:p>
    <w:p>
      <w:r>
        <w:rPr>
          <w:b/>
        </w:rPr>
        <w:t>E. 1.1</w:t>
      </w:r>
    </w:p>
    <w:p>
      <w:r>
        <w:t>Selon l'art. 103 CPC, les décisions relatives aux avances de frais et aux sûretés peuvent faire l'objet d'un recours.</w:t>
      </w:r>
    </w:p>
    <w:p>
      <w:r>
        <w:t>Dès lors qu'il s'agit d'ordonnances d'instruction, ces décisions sont soumises au délai de recours de dix jours de l'art. 321 al. 2 CPC (art. 319 let. b ch. 1 CPC; TAPPY, in Code de procédure civile commenté, 2011, n. 4 et 11 ad art. 103 CPC; SUTER/VON HOLZEN, in Kommentar zur Schweizerischen Zivilprozessordnung, 2016, n. 14 ad art. 99 CPC et n. 8 ad art. 103 CPC).</w:t>
      </w:r>
    </w:p>
    <w:p>
      <w:r>
        <w:t>En l'espèce, recours est recevable pour avoir été formé dans les délai et forme légaux (art. 321 al. 1 et 142 al. 3 CPC).</w:t>
      </w:r>
    </w:p>
    <w:p>
      <w:r>
        <w:rPr>
          <w:b/>
        </w:rPr>
        <w:t>E. 1.2</w:t>
      </w:r>
    </w:p>
    <w:p>
      <w:r>
        <w:t>Le recours est recevable pour violation du droit et constatation manifestement inexacte des faits (art. 320 CPC).</w:t>
      </w:r>
    </w:p>
    <w:p>
      <w:r>
        <w:rPr>
          <w:b/>
        </w:rPr>
        <w:t>E. 2.1</w:t>
      </w:r>
    </w:p>
    <w:p>
      <w:r>
        <w:t>L'art. 99 al. 1 CPC prévoit que le demandeur doit, sur requête du défendeur, fournir des sûretés en garantie du paiement des dépens, notamment lorsqu'il n'a pas de domicile ou de siège en Suisse (let. a). 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w:t>
      </w:r>
    </w:p>
    <w:p>
      <w:r>
        <w:rPr>
          <w:b/>
        </w:rPr>
        <w:t>E. 2.2</w:t>
      </w:r>
    </w:p>
    <w:p>
      <w:r>
        <w:t>En l'espèce, seul le montant des sûretés est litigieux, le principe de celles-ci n'étant, à juste titre, pas remis en cause par la recourante.</w:t>
      </w:r>
    </w:p>
    <w:p>
      <w:r>
        <w:rPr>
          <w:b/>
        </w:rPr>
        <w:t>E. 3</w:t>
      </w:r>
    </w:p>
    <w:p>
      <w:r>
        <w:t>Celle-ci reproche au Tribunal d'avoir retenu que chaque intimé pouvait prétendre à une indemnisation individuelle. Elle fait valoir que les intimés ont requis, conjointement, des sûretés pour un montant global de 200'000 fr. et qu'ils auront à se prononcer "sur les mêmes éléments de la responsabilité", soit ceux ressortant des art. 754 et 755 CO (dommage, violation de la loi, lien de causalité, faute). Il n'existait donc aucune raison matérielle objective de prévoir une défense séparée, de sorte que seule une indemnité unique – arrêtée à 78'000 fr. – se justifiait pour l'ensemble des intimés. 3.1.1 Les sûretés doivent en principe couvrir les dépens présumés que le demandeur aurait à verser au défendeur s'il succombe. Il s'agit de tous les dépens envisagés à l'art. 95 al. 3 CPC (TAPPY, op. cit., n. 7 ad art. 100 CPC). Ces dépens devront être estimés sur la base du tarif cantonal (art. 96 CPC) et de l'expérience</w:t>
      </w:r>
    </w:p>
    <w:p>
      <w:r>
        <w:t>- 5/9 -</w:t>
      </w:r>
    </w:p>
    <w:p>
      <w:r>
        <w:t>C/25956/2016 du juge, qui dispose d'un grand pouvoir d'appréciation (URWYLER/GRÜTTER, in Kommentar zur Schweizerischen Zivilprozessordnung, 2016, n. 1 ad art. 100 CPC). A défaut de précision dans le texte légal, les sûretés ne peuvent porter que sur les dépens de l'instance saisie (TAPPY, op. cit., n. 7 ad art. 100 CPC). En cas de consorité simple, chaque consort peut procéder indépendamment des autres (cf. art. 71 al. 3 CPC). Si les consorts sont représentés individuellement, chaque représentant peut demander les dépens correspondants (TAPPY, op. cit., n. 12 ad art. 99 CPC; STAEHELIN/SCHWEIZER, in Kommentar zur Schweizerischen Zivilprozessordnung, 2016, n. 18-19 ad art. 70 CPC). Selon le règlement fixant le tarif des frais en matière civile du canton de Genève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85 RTFMC, une valeur litigieuse au-delà de 4'000'000 fr. et jusqu'à 10'000'000 fr. donne lieu à des dépens de 61'400 fr. plus 0,75% de la valeur litigieuse dépassant 4'000'000 fr., auxquels sont ajoutés les débours (3%) et la TVA (7.7% depuis le 1er janvier 2018) ainsi que le prévoient les art. 25 et 26 LaCC. Le montant fixé à l'art. 85 RFTMC peut être augmenté ou réduit de 10% en fonction des critères de l'art. 84 RTFMC. La valeur du litige est déterminée par les conclusions, les intérêts et les frais de la procédure n'étant pas pris en compte (art. 91 al. 1 CPC). 3.1.2 Le droit de la société anonyme fait une distinction entre les activités de gestion et les tâches de révision, la responsabilité des administrateurs étant prévue à l'art. 754 CO et celle des réviseurs à l'art. 755 CO. Toutes deux supposent la réunion de quatre conditions cumulatives, à savoir la violation d'un devoir, une faute (intentionnelle ou par négligence), un dommage et l'existence d'un rapport de causalité (naturelle et adéquate) entre la violation du devoir et la survenance du dommage (CORBOZ/AUBRY GIRARDIN, in CR CO II, 2017, n. 17 ad art. 754, n. 1 et 6a ad art. 755 CO). La responsabilité des administrateurs et de l'organe de révision est soumise au régime de solidarité différenciée de l'art. 759 al. 1 CO, lequel prévoit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chaque coresponsable peut donc faire valoir ses motifs personnels</w:t>
      </w:r>
    </w:p>
    <w:p>
      <w:r>
        <w:t>- 6/9 -</w:t>
      </w:r>
    </w:p>
    <w:p>
      <w:r>
        <w:t>C/25956/2016 d'atténuation de la responsabilité, tels que la faute légère, la gêne, l'action de complaisance, la différence des situations économiques ou la faible rémunération (cf. art. 43 al. 1 et 44 CO; ATF 132 III 564 consid. 7 et les références). Selon l'art. 759 al. 2 CO, le demandeur peut actionner plusieurs responsables pour la totalité du dommage et demander au juge de fixer au cours de la même procédure les dommages-intérêts dus par chacun des défendeurs. Le Tribunal fédéral a inféré de cette disposition que, lorsque le demandeur actionne ensemble plusieurs responsables pour la totalité du dommage, il ne supporte le risque des frais et dépens du procès qu'à l'égard d'une seule partie adverse et non à l'égard de chaque défendeur (ATF 122 III 324 consid. 7b). En cas de rejet de la demande, le principe posé à l'ATF 122 III 324 cité supra sera appliqué de manière stricte lorsque des griefs identiques sont faits à l'encontre de plusieurs codéfendeurs et qu'une défense commune n'est pas exclue. En revanche, lorsque plusieurs défendeurs sont dans un conflit interne d'intérêts et qu'un avocat a déjà l'interdiction, de par les règles de droit public, de les assister tous parce qu'ils se chargent mutuellement, une telle application stricte n'est pas satisfaisante. Il s'ensuit que dans certaines circonstances, il n'y a pas lieu de priver les consorts défendeurs d'une prétention à plusieurs indemnisations. Il en va en particulier ainsi lorsqu'ils ont un motif légitime de se faire assister séparément ou en groupe. Tel est par exemple le cas lorsqu'une action en responsabilité d'organe est dirigée tant contre les administrateurs d'une société anonyme que contre ses réviseurs (ATF 125 III 138, JT 2001 I 285 consid. 2).</w:t>
      </w:r>
    </w:p>
    <w:p>
      <w:r>
        <w:rPr>
          <w:b/>
        </w:rPr>
        <w:t>E. 3.2</w:t>
      </w:r>
    </w:p>
    <w:p>
      <w:r>
        <w:t>En l'espèce, la recourante actionne les intimés pour la totalité du dommage causé selon elle à la société faillie, en application de l'art. 759 al. 2 CO. Dans sa demande, elle formule toutefois des griefs différenciés à l'encontre de ses parties adverses, certains faits étant reprochés spécifiquement à l'intimé D______ (conflit d'intérêts vis-à-vis de la faillie du fait de son mandat d'administrateur de G______ SA), d'autres à l'intimé C______ (prélèvements relatifs à ses frais de voyage et ses honoraires). A cela s'ajoute que la connaissance qu'ont les administrateurs de la gestion courante de la société n'est pas la même que celle du réviseur, lequel n'intervient en règle générale qu'une fois par année, à la fin d'un exercice, pour établir son rapport de révision. L'état de fait à la base de l'action étant distinct pour chacun des intimés, il est erroné d'affirmer, comme le fait la recourante, que ceux-ci ont "tout intérêt à se coordonner" et à "préparer leurs arguments ensemble". Au contraire, leur rôle respectif au sein de la société faillie devra selon toute vraisemblance faire l'objet d'un examen individualisé, la violation d'un devoir imputable à l'un n'étant pas nécessairement imputable aux autres. La même remarque s'applique quant aux conséquences juridiques d'une telle violation, chaque intimé étant susceptible</w:t>
      </w:r>
    </w:p>
    <w:p>
      <w:r>
        <w:t>- 7/9 -</w:t>
      </w:r>
    </w:p>
    <w:p>
      <w:r>
        <w:t>C/25956/2016 d'invoquer des motifs personnels d'atténuation de sa propre responsabilité. Dans ce contexte, il ne peut être exigé des intimés qu'ils adoptent une ligne de défense commune. C'est donc à bon droit que le Tribunal a retenu que les griefs soulevés par la recourante ne pouvaient pas être traités de façon uniforme, à l'aune des mêmes dispositions, pour chacun des intimés et que, s'agissant des griefs reprochés au conseil d'administration in corpore, les différents administrateurs se trouvaient dans une situation de conflit d'intérêts interne, de sorte qu'ils risquaient concrètement de se charger mutuellement. Le premier juge a également considéré à juste titre que le dépôt par les intimés d'une requête commune de sûretés ne changeait rien à cette appréciation. En effet, leurs intérêts étaient convergents au stade de la recevabilité de la demande, tandis que les conditions pour l'obtention des sûretés étaient identiques pour tous les intimés. Leur démarche conjointe se justifiait donc, par un souci d'économie de procédure et afin de réduire leurs frais d'avocats respectifs. A l'inverse, leurs intérêts ne sont pas en tous points similaires sur le fond du litige, comme relevé ci-dessus. Dès lors que les intimés ont un motif légitime de se faire assister séparément et qu'ils sont représentés chacun par un conseil différent, tous peuvent prétendre à une indemnisation individuelle. A juste titre, la recourante ne critique pas le calcul effectué par le Tribunal, qui a estimé le défraiement individuel de chacun des intimés, en cas de rejet de la demande, à 68'176 fr. [(61'400 fr. + 0,75% de 24'833 fr. 65) + 1'848 fr. de débours + 4'742 fr. de TVA], soit un montant global supérieur à 270'000 fr. Il suit de là que le montant des sûretés a été fixé par le premier juge en conformité avec la loi, les intimés ayant limité leurs conclusions en la matière à 200'000 fr. Le recours sera donc rejeté.</w:t>
      </w:r>
    </w:p>
    <w:p>
      <w:r>
        <w:rPr>
          <w:b/>
        </w:rPr>
        <w:t>E. 4</w:t>
      </w:r>
    </w:p>
    <w:p>
      <w:r>
        <w:t>Les frais judiciaires de recours, qui comprennent l'émolument de décision sur effet suspensif, seront arrêtés à 1'200 fr. (art. 17 et 38 RTFMC), mis à la charge de la recourante, qui succombe (art. 106 al. 1 CPC), et compensés avec l'avance du même montant fournie par cette dernière, qui reste acquise à l'Etat de Genève (art. 111 al. 1 CPC).</w:t>
      </w:r>
    </w:p>
    <w:p>
      <w:r>
        <w:t>La recourante sera condamnée à payer à chacun des intimés la somme de 800 fr., TVA et débours inclus, à titre de dépens de recours (art. 86 et 90 RTFMC). * * * * * *</w:t>
      </w:r>
    </w:p>
    <w:p>
      <w:r>
        <w:t>- 8/9 -</w:t>
      </w:r>
    </w:p>
    <w:p>
      <w:r>
        <w:t>C/25956/2016 PAR CES MOTIFS, La Chambre civile : A la forme : Déclare recevable le recours formé par A______ LTD contre l'ordonnance OTPI/154/2018 rendue le 12 mars 2018 par le Tribunal de première instance dans la cause C/25956/2016-4. Au fond : Le rejette. Sur les frais : Arrête les frais judiciaires de recours à 1'200 fr., les met à la charge de A______ LTD et les compense avec l'avance versée, qui reste acquise à l'Etat de Genève. Condamne A______ LTD à verser la somme de 800 fr. à B______, à titre de frais judiciaires de recours. Condamne A______ LTD à verser la somme de 800 fr. à C______, à titre de frais judiciaires de recours. Condamne A______ LTD à verser la somme de 800 fr. à D______, à titre de frais judiciaires de recours. Condamne A______ LTD à verser la somme de 800 fr. à E______ SA, à titre de frais judiciaires de recours. Siégeant : Madame Ursula ZEHETBAUER GHAVAMI, présidente; Madame Sylvie DROIN, Madame Nathalie RAPP, juges; Madame Camille LESTEVEN, greffière.</w:t>
      </w:r>
    </w:p>
    <w:p>
      <w:r>
        <w:t>La présidente : Ursula ZEHETBAUER GHAVAMI La greffière : Camille LESTEVEN</w:t>
      </w:r>
    </w:p>
    <w:p>
      <w:r>
        <w:t>- 9/9 -</w:t>
      </w:r>
    </w:p>
    <w:p>
      <w:r>
        <w:t>C/25956/2016</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