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ACJC/1372/2022 vom 20. Oktober 2022</w:t>
      </w:r>
    </w:p>
    <w:p>
      <w:r>
        <w:t>GE Cour de justice, 2022-10-20, FR</w:t>
      </w:r>
    </w:p>
    <w:p>
      <w:r>
        <w:rPr>
          <w:b/>
        </w:rPr>
        <w:t xml:space="preserve">Quelle: </w:t>
      </w:r>
      <w:r>
        <w:t>https://mcp.opencaselaw.ch/entscheid/ge_gerichte_ACJC_1372_2022</w:t>
      </w:r>
    </w:p>
    <w:p>
      <w:r>
        <w:t>FR: GE_GERICHTE ACJC/1372/2022 du 20 octobre 2022</w:t>
      </w:r>
    </w:p>
    <w:p>
      <w:r>
        <w:t>IT: GE_GERICHTE ACJC/1372/2022 del 20 ottobre 2022</w:t>
      </w:r>
    </w:p>
    <w:p>
      <w:pPr>
        <w:pStyle w:val="Heading2"/>
      </w:pPr>
      <w:r>
        <w:t>Erwägungen</w:t>
      </w:r>
    </w:p>
    <w:p>
      <w:r>
        <w:rPr>
          <w:b/>
        </w:rPr>
        <w:t>E. 1</w:t>
      </w:r>
    </w:p>
    <w:p>
      <w:r>
        <w:t>L'intimée a conclu dans son écriture en réponse à l'appel formé contre le jugement du 31 mai 2022 à ce que ses parties adverses soient condamnées au versement de 6'000 fr. à titre de sûretés. Elles ne s'étaient pas acquittées des dépens mis à leur charge par l'ordonnance OTPI/81/2022 du 16 février 2022 et les extraits du registre des poursuites de Genève au 24 janvier 2022 qu'elle avait produits les concernant attestaient de ce qu'elles étaient insolvables. A______ et B______ font valoir que la demande de sûretés est irrecevable, car tardive. En tout état de cause, ils avaient des difficultés financières mais n'étaient pas insolvables. Les dépens relatifs à l'ordonnance de mesures provisionnelles du Tribunal du 16 février 2022 n'avaient pas été versés car l'ordonnance n'était pas définitive. Le montant des sûretés requises par l'intimée était excessif.</w:t>
      </w:r>
    </w:p>
    <w:p>
      <w:r>
        <w:t>- 6/15 -</w:t>
      </w:r>
    </w:p>
    <w:p>
      <w:r>
        <w:t>C/25395/2021 et C/24957/2021</w:t>
      </w:r>
    </w:p>
    <w:p>
      <w:r>
        <w:rPr>
          <w:b/>
        </w:rPr>
        <w:t>E. 1.1</w:t>
      </w:r>
    </w:p>
    <w:p>
      <w:r>
        <w:t>Selon l'art. 99 al. 1 CPC le demandeur doit, sur requête du défendeur, fournir des sûretés en garantie du paiement des dépens lorsqu'il paraît insolvable, notamment en raison d’une mise en faillite, d’une procédure concordataire en cours ou de la délivrance d’actes de défaut de biens (let. b) ou s'il est débiteur de frais d’une procédure antérieure (let. c). Même si l'art. 99 CPC se réfère au "demandeur", l'obligation de fournir des sûretés vaut aussi en deuxième instance, notamment à l'égard de l'appelant. Chaque instance décide de façon indépendante si des sûretés doivent être ordonnées; les sûretés couvrent les dépens que l'instance saisie pourrait devoir allouer à la partie attraite devant elle, à l'issue de la procédure. Selon un point de vue apparemment majoritaire, les sûretés doivent en principe couvrir uniquement des frais futurs ; certains auteurs réservent une exception lorsque le motif de constituer des sûretés surgit en cours de procédure. D'autres estiment que les sûretés couvrent la totalité des dépens que l'instance saisie pourrait devoir allouer, sans égard au moment où la requête a été déposée, et même si le requérant a tardé à agir; toutefois, la demande de sûretés devant l'autorité d'appel ou de recours ne saurait en aucun cas avoir un effet "rétroactif" pour les dépens de première instance, puisque chaque instance se prononce pour la phase procédurale relevant de sa compétence. (arrêt du Tribunal fédéral 4A_26/2013 du 5 septembre 2013 consid. 2.2 et 2.3). Selon la jurisprudence, en procédure devant le Tribunal fédéral, des sûretés ne peuvent être requises que pour les dépens futurs, c'est-à-dire pour les frais qui n’ont pas déjà été occasionnés. Selon la doctrine largement majoritaire ceci s’applique aussi aux requêtes de sûretés dans une procédure cantonale, fondées sur l’art. 99 CPC; le Tribunal fédéral n’a pas encore tranché la question (arrêt du Tribunal fédéral 4A_46/2015 du 27 mars 2015 consid. 3). La requête de sûretés devient sans objet si, à son dépôt, le requérant a déjà engagé tous les dépens occasionnés par le litige (ATF 118 II 87 consid. 2, JdT 1993 I 316). Quand bien même la loi ne détermine pas le moment du dépôt de la requête, celle- ci sera formulée logiquement dès que possible, soit le plus souvent avant que le défendeur ait déjà exposé des frais en procédant. Celui-ci a dès lors un intérêt digne de protection au dépôt de sûretés suffisantes avant qu'il ne soit appelé à déposer son mémoire de réponse (arrêt du Tribunal fédéral 4A_497/2020 du 19 octobre 2021 consid. 1.2). Selon la jurisprudence du Tribunal fédéral, l’on peut exiger de la partie qui obtient – au moins partiellement - gain de cause en première instance et qui entend alors obtenir des sûretés qu’avant même l’expiration du délai d’appel, elle adresse à l’autorité de deuxième instance une requête de sûretés ou à tout le moins, qu’elle</w:t>
      </w:r>
    </w:p>
    <w:p>
      <w:r>
        <w:t>- 7/15 -</w:t>
      </w:r>
    </w:p>
    <w:p>
      <w:r>
        <w:t>C/25395/2021 et C/24957/2021 l’avise que pour le cas où un appel serait introduit, elle dépose une requête de sûretés. Si un appel parvient effectivement à l’autorité, celle-ci doit impartir à l’intimé un bref délai pour motiver sa requête et ne lui notifier l’appel, pour détermination écrite, que lorsqu’après audition de l’appelant, elle aura rejeté la requête de sûretés, ou lorsque les sûretés ordonnées auront été versées (ATF 141 III 554 consid. 2.5, in SJ 2016 I 295).</w:t>
      </w:r>
    </w:p>
    <w:p>
      <w:r>
        <w:rPr>
          <w:b/>
        </w:rPr>
        <w:t>E. 1.2</w:t>
      </w:r>
    </w:p>
    <w:p>
      <w:r>
        <w:t>En l'espèce, la requête de sûretés est sans objet au sens des principes juridiques précités puisque, au moment où elle été formée, l'intimée, qui avait déjà rédigé sa réponse à l'appel, avait engagé tous les dépens occasionnés par le litige.</w:t>
      </w:r>
    </w:p>
    <w:p>
      <w:r>
        <w:t>En effet, un second échange d'écritures n'a pas été ordonné et aucun autre acte d'instruction n'aura lieu dans le cadre de la présente procédure.</w:t>
      </w:r>
    </w:p>
    <w:p>
      <w:r>
        <w:t>Il n'y a dès lors pas lieu d'ordonner le dépôt de sûretés et la requête de l'intimée en ce sens sera rejetée.</w:t>
      </w:r>
    </w:p>
    <w:p>
      <w:r>
        <w:rPr>
          <w:b/>
        </w:rPr>
        <w:t>E. 2</w:t>
      </w:r>
    </w:p>
    <w:p>
      <w:r>
        <w:t>L'intimée fait valoir que l'appel formé contre le jugement du 31 mai 2022 est irrecevable car la valeur litigieuse prévue par la loi n'est pas atteinte.</w:t>
      </w:r>
    </w:p>
    <w:p>
      <w:r>
        <w:t>2.1.1 La voie de l'appel est ouverte contre les décisions d'évacuation, lorsque la valeur litigieuse est supérieure à 10'000 fr. (art. 308 al. 2 CPC).</w:t>
      </w:r>
    </w:p>
    <w:p>
      <w:r>
        <w:t>La voie du recours est ouverte contre les décisions qui ne peuvent pas faire l'objet d'un appel (art. 319 let. a CPC). L’intitulé erroné d’un acte de recours - au sens large - est simplement rectifié, lorsque cet acte remplit les conditions de recevabilité du recours qui aurait dû être interjeté (ATF 134 III 379 consid. 1.2; ATF 131 I 291 consid. 1.3).</w:t>
      </w:r>
    </w:p>
    <w:p>
      <w:r>
        <w:t>2.1.2 Si les conditions pour ordonner une expulsion selon la procédure sommaire en protection des cas clairs sont contestées, la valeur litigieuse équivaut au dommage présumé, si les conditions d'une expulsion selon l'article 257 CPC ne sont pas remplies, correspondant à la valeur locative ou la valeur d'usage hypothétiquement perdue pendant la durée prévisible d'un procès en procédure ordinaire permettant d'obtenir une décision d'expulsion, laquelle peut être estimée à six mois (ATF 144 III 346 consid. 1.1.2).</w:t>
      </w:r>
    </w:p>
    <w:p>
      <w:r>
        <w:rPr>
          <w:b/>
        </w:rPr>
        <w:t>E. 2.2</w:t>
      </w:r>
    </w:p>
    <w:p>
      <w:r>
        <w:t>En l'espèce, l'intimée expose que le litige porte sur l'usage de deux places de parking extérieures dont elle fixe la valeur locative à 200 fr. par mois pour chaque place. A______ et B______ ne contestent pas ce montant, mais font valoir que le litige porte sur l'usage de l'entier de la parcelle de l'intimée.</w:t>
      </w:r>
    </w:p>
    <w:p>
      <w:r>
        <w:t>Il y a lieu de retenir que le litige porte, comme le soutient l'intimée, sur l'usage des deux places de parking visiteurs n° 1 et 2 situées sur sa parcelle et non pas sur l'usage de l'entier de ladite parcelle. En effet, il ressort du dossier que c'est</w:t>
      </w:r>
    </w:p>
    <w:p>
      <w:r>
        <w:t>- 8/15 -</w:t>
      </w:r>
    </w:p>
    <w:p>
      <w:r>
        <w:t>C/25395/2021 et C/24957/2021 uniquement sur ces deux places que A______ et B______ ont pris l'habitude de garer leur camionnette.</w:t>
      </w:r>
    </w:p>
    <w:p>
      <w:r>
        <w:t>La valeur litigieuse peut donc être fixée à 2'400 fr. environ, soit 400 fr. pour les deux places x 6 mois, de sorte que seule la voie du recours est ouverte.</w:t>
      </w:r>
    </w:p>
    <w:p>
      <w:r>
        <w:t>L'acte de A______ et B______, qui respecte les conditions de forme du recours et a été déposé dans le délai légal (art. 321 CPC), sera par conséquent converti en recours et déclaré recevable, conformément à la jurisprudence (ATF 134 III 379 consid. 1.2; ATF 131 I 291 consid. 1.3).</w:t>
      </w:r>
    </w:p>
    <w:p>
      <w:r>
        <w:rPr>
          <w:b/>
        </w:rPr>
        <w:t>E. 3</w:t>
      </w:r>
    </w:p>
    <w:p>
      <w:r>
        <w:t>Les recourants ont requis la jonction des causes C/24957/2021 et C/25395/2021, faisant valoir que les deux procédures avaient le même objet et opposaient les mêmes parties. L'intimée a pour sa part indiqué qu'elle ne s'opposait pas à la jonction, même, si à son avis, la cause C/24957/2021, concernant les mesures provisionnelles, était devenue sans objet du fait du prononcé du jugement au fond.</w:t>
      </w:r>
    </w:p>
    <w:p>
      <w:r>
        <w:rPr>
          <w:b/>
        </w:rPr>
        <w:t>E. 3.1</w:t>
      </w:r>
    </w:p>
    <w:p>
      <w:r>
        <w:t>Selon l'art. 125 let. c CPC, pour simplifier le procès, le tribunal peut notamment ordonner la jonction des causes. La jonction de causes peut être ordonnée si le juge l'estime opportun. Cette mesure n’est ainsi pas conditionnée à des critères précis, si ce n'est celui de la simplification du procès selon l’appréciation du tribunal (HALDY, Commentaire romand, n. 6, ad art. 125 CPC).</w:t>
      </w:r>
    </w:p>
    <w:p>
      <w:r>
        <w:rPr>
          <w:b/>
        </w:rPr>
        <w:t>E. 3.2</w:t>
      </w:r>
    </w:p>
    <w:p>
      <w:r>
        <w:t>En l'espèce, la jonction des deux causes précitées, qui ont le même objet et concernent les mêmes parties, est de nature à simplifier le procès et peut être prononcée. La jonction des causes C/25395/2021 et C/24957/2021 sera dès lors ordonnée sous ce dernier numéro. Les questions de savoir si les mesures provisionnelles ordonnées par le Tribunal sont devenues sans objet depuis le prononcé du jugement au fond et quel est le sort qui doit être donné au recours contre l'ordonnance du 16 février 2022, seront quant à elles examinées au considérant 7 ci-après.</w:t>
      </w:r>
    </w:p>
    <w:p>
      <w:r>
        <w:rPr>
          <w:b/>
        </w:rPr>
        <w:t>E. 4.1</w:t>
      </w:r>
    </w:p>
    <w:p>
      <w:r>
        <w:t>Selon l'art. 326 al. 1 CPC, les conclusions, allégations de fait et preuves nouvelles sont irrecevables dans le cadre d'un recours.</w:t>
      </w:r>
    </w:p>
    <w:p>
      <w:r>
        <w:t>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w:t>
      </w:r>
    </w:p>
    <w:p>
      <w:r>
        <w:t>- 9/15 -</w:t>
      </w:r>
    </w:p>
    <w:p>
      <w:r>
        <w:t>C/25395/2021 et C/24957/2021 l'art. 99 al. 1 LTF (arrêt du Tribunal fédéral 5A_252/2021 du 8 novembre 2021 consid. 2.3; ATF 143 II 224 consid. 5.1).</w:t>
      </w:r>
    </w:p>
    <w:p>
      <w:r>
        <w:rPr>
          <w:b/>
        </w:rPr>
        <w:t>E. 4.2</w:t>
      </w:r>
    </w:p>
    <w:p>
      <w:r>
        <w:t>En l'espèce, les pièces produites par les recourants à l'appui de leur recours contre le jugement du 31 mai 2022 ne sont pas nouvelles puisqu'il s'agit des actes de la présente procédure ou de ceux de la procédure de mesures provisionnelles qui y a été jointe. Elles sont dès lors recevables. Les pièces 3 à 6 nouvelles produites par l'intimée sont quant à elles irrecevables en application de l'art. 326 al. 1 CPC, de même que la pièce nouvelle produite par les recourants avec leur réplique.</w:t>
      </w:r>
    </w:p>
    <w:p>
      <w:r>
        <w:rPr>
          <w:b/>
        </w:rPr>
        <w:t>E. 5</w:t>
      </w:r>
    </w:p>
    <w:p>
      <w:r>
        <w:t>Le Tribunal a retenu dans sa décision du 31 mai 2022 que le principe de célérité s'opposait à ce que la cause soit suspendue dans l'attente de l'issue de la procédure pénale ouverte suite à la plainte déposée par l'intimée. En outre, le juge civil n'était pas lié par les décisions du juge pénal, de sorte que cet élément n'était pas pertinent pour l'issue du litige.</w:t>
      </w:r>
    </w:p>
    <w:p>
      <w:r>
        <w:t>Les appelants font valoir que la suspension est nécessaire pour éviter un risque de décisions contradictoires. Le droit pénal leur offrait un moyen d'établir un motif justificatif fondé sur la loi. L'invocation du principe de célérité relevait du formalisme excessif.</w:t>
      </w:r>
    </w:p>
    <w:p>
      <w:r>
        <w:rPr>
          <w:b/>
        </w:rPr>
        <w:t>E. 5.1</w:t>
      </w:r>
    </w:p>
    <w:p>
      <w:r>
        <w:t>Selon l'art. 126 al. 1 CPC, le tribunal peut ordonner la suspension de la procédure si des motifs d’opportunité le commandent. La procédure peut notamment être suspendue lorsque la décision dépend du sort d’un autre procès.</w:t>
      </w:r>
    </w:p>
    <w:p>
      <w:r>
        <w:t>La suspension ne doit être admise qu'exceptionnellement, en particulier lorsqu'il se justifie d'attendre la décision d'une autre autorité, ce qui permettrait de trancher une question décisive. De manière générale, la décision de suspension relève du pouvoir d'appréciation du juge saisi; ce dernier procédera à la pesée des intérêts des parties, l'exigence de célérité l'emportant dans les cas limites. ATF 119 II 386 consid. 1b ; ATF 135 III 127 consid. 3.4).</w:t>
      </w:r>
    </w:p>
    <w:p>
      <w:r>
        <w:rPr>
          <w:b/>
        </w:rPr>
        <w:t>E. 5.2</w:t>
      </w:r>
    </w:p>
    <w:p>
      <w:r>
        <w:t>En l'espèce les recourants ne démontrent pas qu'il existe un risque de décisions contradictoires. La question de savoir si les recourants ont commis une violation de domicile au sens du droit pénal est différente de celle de savoir s'ils ont le droit de se garer sur les places de parking de l'intimée. La procédure pénale ne revêt par conséquent aucune portée préjudicielle par rapport à la présente procédure. En tout état de cause, comme l'a relevé à juste titre le Tribunal, le juge civil n'est pas lié par une décision rendue par le juge pénal.</w:t>
      </w:r>
    </w:p>
    <w:p>
      <w:r>
        <w:t>Les recourants ont par ailleurs la possibilité de faire valoir leurs éventuels moyens justificatifs dans le cadre de la présente procédure, de sorte que cet argument ne justifie pas une suspension.</w:t>
      </w:r>
    </w:p>
    <w:p>
      <w:r>
        <w:t>- 10/15 -</w:t>
      </w:r>
    </w:p>
    <w:p>
      <w:r>
        <w:t>C/25395/2021 et C/24957/2021</w:t>
      </w:r>
    </w:p>
    <w:p>
      <w:r>
        <w:t>Attendre l'issue de la procédure pénale, dont on ignore l'état d'avancement, retarderait de manière excessive le cours de la présente cause, soumise à la procédure sommaire. La constatation en ce sens du Tribunal n'est pas constitutive de formalisme excessif. Le fait que l'intimée ait obtenu des mesures provisionnelles n'y change rien.</w:t>
      </w:r>
    </w:p>
    <w:p>
      <w:r>
        <w:t>La requête de suspension formée par les recourants sera dès lors rejetée.</w:t>
      </w:r>
    </w:p>
    <w:p>
      <w:r>
        <w:rPr>
          <w:b/>
        </w:rPr>
        <w:t>E. 6</w:t>
      </w:r>
    </w:p>
    <w:p>
      <w:r>
        <w:t>Le Tribunal a retenu que l'intimée, propriétaire de la parcelle sur laquelle étaient situées les places de parc litigieuses, était en droit d'exiger l'évacuation des recourants qui les occupaient sans droit. L'état de fait n'était pas litigieux et la situation juridique était claire. Compte tenu du fait que les recourants avaient manifesté leur intention de persister à stationner sur la parcelle de l'intimée, il convenait d'autoriser celle-ci à faire appel à la force publique pour faire exécuter l'évacuation et de prononcer une amende de 1'000 fr. par jour d'inexécution.</w:t>
      </w:r>
    </w:p>
    <w:p>
      <w:r>
        <w:t>Les recourants font valoir que les places de parking litigieuses font partie du domaine public car elles sont accessibles à un grand nombre de personnes et plusieurs usagers de l'aéroport les utilisent. La circulation et le stationnement sur ces places étaient réglementées par les pouvoirs publics. Le cas n'était pas clair car l'on ignorait si l'occupation des places en question relevait du droit privé ou du droit public. Celles-ci se trouvaient en prolongement d'un trottoir appartenant au domaine public et le Tribunal ne pouvait pas "ignorer dans son jugement cet élément avancé par les [recourants], soit la situation induite par la mise en place des blocs de béton par l'intimée sur un domaine public". En outre, l'action était devenue sans objet dès le 22 mars 2022, date à laquelle la camionnette des appelants avait été évacuée de la parcelle de l'intimée.</w:t>
      </w:r>
    </w:p>
    <w:p>
      <w:r>
        <w:t>6.1.1 Aux termes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141 III 23 consid. 3.2; 138 III 620 consid. 5.1.1).</w:t>
      </w:r>
    </w:p>
    <w:p>
      <w:r>
        <w:t>- 11/15 -</w:t>
      </w:r>
    </w:p>
    <w:p>
      <w:r>
        <w:t>C/25395/2021 et C/24957/2021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(arrêt du Tribunal fédéral 4A_295/2017 du 25 avril 2018 consid 3.1). 6.1.2 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(droit de gage, usufruit) ou personnelle (découlant par exemple d'un bail ou d'un prêt) (STEINAUER, Les droits réels, 2019, n. 1407, p. 405; arrêts du Tribunal fédéral 4A_384/2008 du 9 décembre 2008; 4C.265/2002 du 26 novembre 2002). L’action négatoire permet au propriétaire d’agir lorsque sa maîtrise de son bien fait l’objet d’une atteinte illicite ou qui menace de se produire. Il s’agit donc d’une action condamnatoire, qui tend à la cessation de l’atteinte ou à l’interdiction de la causer (FOËX, Commentaire romand, n. 36 ad art. 641 CC). Le trouble doit être actuel ou imminent; il doit durer encore ou menacer de se produire, ou de se répéter. Si le trouble a cessé et ne menace pas de se répéter, l’action négatoire n’est plus ouverte. Le trouble doit être illicite, en ce sens qu’il ne doit être autorisé ni par la loi, ni par le propriétaire (octroi d’un droit personnel ou d’un droit réel au défendeur, autorisation donnée à bien plaire non révoquée, etc.). Pour reprendre une formule du Tribunal fédéral, le trouble à la propriété est illicite si ni le droit privé, ni le droit public, n’imposent au propriétaire de le tolérer. Le défendeur a la charge de prouver que le trouble n’est pas illicite. S’agissant d’un trouble qui menace de se produire, ou de se produire à nouveau, le demandeur peut exiger qu’il soit fait interdiction au défendeur de le causer, voire de le causer à nouveau (FOËX, op. cit., n. 44, 46, 47 et 50 ad art. 641 CC).</w:t>
      </w:r>
    </w:p>
    <w:p>
      <w:r>
        <w:rPr>
          <w:b/>
        </w:rPr>
        <w:t>E. 6.2</w:t>
      </w:r>
    </w:p>
    <w:p>
      <w:r>
        <w:t>En l'espèce, la situation factuelle et juridique est claire en ce sens que les places de parking dont les appelants revendiquent l'utilisation sont situées sur la parcelle appartenant à l'intimée et sont dès lors soumises aux règles de droit privé.</w:t>
      </w:r>
    </w:p>
    <w:p>
      <w:r>
        <w:t>Les appelants n'ont pas établi qu'ils étaient au bénéfice d'un droit d'usage sur les places de parking précitées, de sorte que c'est à juste titre que le Tribunal a fait droit aux conclusions de l'intimée.</w:t>
      </w:r>
    </w:p>
    <w:p>
      <w:r>
        <w:t>Aucun élément du dossier ne permet de retenir que ces places sont accessibles à un grand nombre de personnes et utilisées par plusieurs usagers de l'aéroport</w:t>
      </w:r>
    </w:p>
    <w:p>
      <w:r>
        <w:t>- 12/15 -</w:t>
      </w:r>
    </w:p>
    <w:p>
      <w:r>
        <w:t>C/25395/2021 et C/24957/2021 comme l'allèguent les recourants. En tout état de cause, même si cela était le cas, cela n'obligerait pas l'intimée à autoriser ces derniers à se garer sur la parcelle qui lui appartient.</w:t>
      </w:r>
    </w:p>
    <w:p>
      <w:r>
        <w:t>Le fait que ces emplacements se trouvent en prolongement d'un trottoir appartenant au domaine public, à supposer qu'il soit établi, ce qui n'est pas le cas, est dénué de pertinence.</w:t>
      </w:r>
    </w:p>
    <w:p>
      <w:r>
        <w:t>L'intimée était en outre en droit d'installer un bloc de béton sur l'une des places pour empêcher un accès non autorisé à celle-ci et cet élément n'a aucune influence sur l'issue du litige.</w:t>
      </w:r>
    </w:p>
    <w:p>
      <w:r>
        <w:t>Contrairement à ce qu'allèguent les recourants, l'action en cas clair de l'intimée n'est pas devenue sans objet dès le 22 mars 2022, suite à l'évacuation de leur camionnette par la force publique.</w:t>
      </w:r>
    </w:p>
    <w:p>
      <w:r>
        <w:t>En effet, s'agissant du stationnement d'une voiture sur un emplacement de parking, le trouble est de nature à se reproduire. Les éléments du dossier établissent qu'il existe un risque concret de réitération puisque les recourants ne reconnaissent pas le droit de l'intimée et ont persisté pendant une longue durée à stationner sur sa parcelle, en dépit des interdictions qui leur ont été signifiées.</w:t>
      </w:r>
    </w:p>
    <w:p>
      <w:r>
        <w:t>A cet égard, les allégations des recourants selon lesquelles ils ont "changé le protocole de prise en charge des véhicules de leurs clients" et ne sont plus revenus sur la parcelle de l'intimée, ne sont pas prouvées, la pièce produite à cet effet étant irrecevable.</w:t>
      </w:r>
    </w:p>
    <w:p>
      <w:r>
        <w:t>Il est ainsi établi que le trouble causé à la propriété de l'intimée est susceptible de se reproduire, de sorte qu'il convient de maintenir les injonctions prononcées par le Tribunal dans sa décision du 31 mai 2022.</w:t>
      </w:r>
    </w:p>
    <w:p>
      <w:r>
        <w:t>Les recourants ne formulent par ailleurs aucun grief contre les mesures d'exécution prononcées par le Tribunal. Le jugement querellé sera dès lors entièrement confirmé.</w:t>
      </w:r>
    </w:p>
    <w:p>
      <w:r>
        <w:rPr>
          <w:b/>
        </w:rPr>
        <w:t>E. 7.1</w:t>
      </w:r>
    </w:p>
    <w:p>
      <w:r>
        <w:t>Selon l'art. 268 al. 2 CPC, l'entrée en force de la décision sur le fond entraîne la caducité des mesures provisionnelles.</w:t>
      </w:r>
    </w:p>
    <w:p>
      <w:r>
        <w:t>Il résulte de cette disposition que, lorsque le tribunal a statué simultanément sur les mesures provisionnelles et sur le fond, le recourant n'a pas d'intérêt pratique et actuel à ce qu'il soit décidé si c'est à raison que sa requête de mesures provisionnelles a été rejetée (arrêt du Tribunal fédéral 4A_440/2014 du 27 novembre 2014 consid. 1.2).</w:t>
      </w:r>
    </w:p>
    <w:p>
      <w:r>
        <w:rPr>
          <w:b/>
        </w:rPr>
        <w:t>E. 7.2</w:t>
      </w:r>
    </w:p>
    <w:p>
      <w:r>
        <w:t>En l'espèce, il résulte des considérants qui précèdent que la décision sur le fond rendue par le Tribunal le 31 mai 2022 est confirmée. Les mesures</w:t>
      </w:r>
    </w:p>
    <w:p>
      <w:r>
        <w:t>- 13/15 -</w:t>
      </w:r>
    </w:p>
    <w:p>
      <w:r>
        <w:t>C/25395/2021 et C/24957/2021 provisionnelles prononcées le 16 février 2022 sont dès lors devenues caduques de par la loi.</w:t>
      </w:r>
    </w:p>
    <w:p>
      <w:r>
        <w:t>Le recours formé par les recourants contre l'ordonnance OTPI/81/2022 du 16 février 2022 est dès lors sans objet, ce qui sera constaté dans le dispositif du présent arrêt.</w:t>
      </w:r>
    </w:p>
    <w:p>
      <w:r>
        <w:rPr>
          <w:b/>
        </w:rPr>
        <w:t>E. 8.1</w:t>
      </w:r>
    </w:p>
    <w:p>
      <w:r>
        <w:t>L'intimée, qui succombe sur la question des sûretés, sera condamnée aux frais y relatifs (art. 106 al. 1 CPC). Les frais judiciaires seront arrêtés à 300 fr. (art. 21 RTFMC) et compensés avec l'avance du même montant versée par l'intimée, acquise à l'Etat de Genève (art. 111 CPC).</w:t>
      </w:r>
    </w:p>
    <w:p>
      <w:r>
        <w:t>Un montant de 400 fr. sera alloué à titre de dépens aux recourants qui ont consacré environ quatre pages de leur écriture du 19 août 2022 à cette question.</w:t>
      </w:r>
    </w:p>
    <w:p>
      <w:r>
        <w:rPr>
          <w:b/>
        </w:rPr>
        <w:t>E. 8.2</w:t>
      </w:r>
    </w:p>
    <w:p>
      <w:r>
        <w:t>Les recourants, qui succombent sur le fond, seront condamnés aux frais des recours formés contre le jugement du 31 mai 2022 et contre l'ordonnance du 16 février 2022.</w:t>
      </w:r>
    </w:p>
    <w:p>
      <w:r>
        <w:t>Les frais judiciaires des deux recours seront arrêtés à 3'840 fr. (1'440 fr. pour le recours contre l'ordonnance du 16 février 2022 et 2'400 fr. pour celui formé contre le jugement du 31 mai 2022; art. 31, 38 et 40 RTFMC) et compensés avec les avances versées par les recourants, acquises à l'Etat de Genève.</w:t>
      </w:r>
    </w:p>
    <w:p>
      <w:r>
        <w:t>Les dépens alloués à l'intimée seront fixés à 3'000 fr. débours et TVA inclus, étant précisé que la complexité de la cause, qui concerne une décision sur mesures provisionnelles et une sur le fond, justifie qu'il lui soit alloué un défraiement supérieur au taux prévu par les art. 85, 89 et 90 du RTFMC pour la valeur litigieuse. Les nombreux arguments soulevés par les recourants, de façon souvent confuse, ont en effet nécessité un travail significatif de la part de l'avocat de l'intimée. * * * * *</w:t>
      </w:r>
    </w:p>
    <w:p>
      <w:r>
        <w:t>- 14/15 -</w:t>
      </w:r>
    </w:p>
    <w:p>
      <w:r>
        <w:t>C/25395/2021 et C/24957/2021 PAR CES MOTIFS, La Chambre civile : Préalablement : Ordonne la jonction des causes C/24957/2021 et C/25395/2021 sous le numéro C/24957/2021. Déclare irrecevable la requête de sûretés formée le 18 juillet 2022 par C______ SA. Met à la charge de C______ SA les frais judiciaires relatifs à la requête de sûretés, arrêtés à 300 fr. et compensés avec l'avance versée, acquise à l'Etat de Genève. Condamne C______ SA à verser à A______ SARL et B______, pris solidairement, 400 fr. à titre de dépens relatif à la requête de sûretés. Principalement : A la forme : Déclare recevable le recours interjeté par A______ SARL et B______ contre le jugement JTPI/6664/2022 rendu le 31 mai 2022 par le Tribunal de première instance. Déclare sans objet le recours interjeté par les précités contre l'ordonnance OTPI/81/2022 rendue le 16 février 2022 par le Tribunal de première instance. Au fond : Confirme le jugement JTPI/6664/2022 rendu le 31 mai 2022 par le Tribunal de première instance. Déboute les parties de toutes autres conclusions. Sur les frais : Met à la charge de A______ SARL et B______, pris solidairement, les frais judiciaires de recours, arrêtés à 3'840 fr. et compensés avec les avances versées, acquises à l'Etat de Genève. Condamne A______ SARL et B______, pris solidairement, à verser à C______ SA 3'000 fr. à titre de dépens de recours. Siégeant :</w:t>
      </w:r>
    </w:p>
    <w:p>
      <w:r>
        <w:t>- 15/15 -</w:t>
      </w:r>
    </w:p>
    <w:p>
      <w:r>
        <w:t>C/25395/2021 et C/24957/2021 Monsieur Laurent RIEBEN, président; Madame Fabienne GEISINGER-MARIETHOZ, Monsieur Ivo BUETTI, juges; Madame Marie-Pierre GROSJEAN, greffière.</w:t>
      </w:r>
    </w:p>
    <w:p>
      <w:r>
        <w:t>Le président : Laurent RIEBEN</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