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ACJC/1371/2021 vom 28. Oktober 2021</w:t>
      </w:r>
    </w:p>
    <w:p>
      <w:r>
        <w:t>GE Cour de justice, 2021-10-28, FR</w:t>
      </w:r>
    </w:p>
    <w:p>
      <w:r>
        <w:rPr>
          <w:b/>
        </w:rPr>
        <w:t xml:space="preserve">Quelle: </w:t>
      </w:r>
      <w:r>
        <w:t>https://mcp.opencaselaw.ch/entscheid/ge_gerichte_ACJC_1371_2021</w:t>
      </w:r>
    </w:p>
    <w:p>
      <w:r>
        <w:t>FR: GE_GERICHTE ACJC/1371/2021 du 28 octobre 2021</w:t>
      </w:r>
    </w:p>
    <w:p>
      <w:r>
        <w:t>IT: GE_GERICHTE ACJC/1371/2021 del 28 ottobre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précédente, est supérieure à 10'000 fr. (art. 308 al. 1 let. a et al. 2 CPC). Dès lors qu'en l'espèce, le litige porte exclusivement sur l'entretien d'un enfant, il est de nature pécuniaire (ATF 133 III 393 consid. 2; arrêts du Tribunal fédéral 5A_42/2013 du 27 juin 2013 consid. 1.1; 5A_906/2012 du 18 avril 2013</w:t>
      </w:r>
    </w:p>
    <w:p>
      <w:r>
        <w:t>- 7/14 -</w:t>
      </w:r>
    </w:p>
    <w:p>
      <w:r>
        <w:t>C/3575/2020 consid. 1; 5A_236/2011 du 18 octobre 2011 consid. 1; 5A_511/2010 du 4 février 2011 consid. 1.1). En l'espèce, la capitalisation, conformément à l'art 92 al. 1 CPC, du montant des contributions d'entretien restées litigieuses au vu des dernières conclusions des parties devant le premier juge excède largement 10'000 fr. Formé en temps utile et selon la forme prescrite par la loi (art. 130, 131 et 311 al. 1 CPC), l'appel est donc recevable.</w:t>
      </w:r>
    </w:p>
    <w:p>
      <w:r>
        <w:rPr>
          <w:b/>
        </w:rPr>
        <w:t>E. 1.2</w:t>
      </w:r>
    </w:p>
    <w:p>
      <w:r>
        <w:t>La Cour revoit la cause en fait et en droit avec un plein pouvoir d'examen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1.3.2</w:t>
      </w:r>
    </w:p>
    <w:p>
      <w:r>
        <w:t>Les pièces nouvelles produites en appel sont, ainsi, recevables.</w:t>
      </w:r>
    </w:p>
    <w:p>
      <w:r>
        <w:rPr>
          <w:b/>
        </w:rPr>
        <w:t>E. 2</w:t>
      </w:r>
    </w:p>
    <w:p>
      <w:r>
        <w:t>décembre 2020 consid. 3 et les réf. cit.).</w:t>
      </w:r>
    </w:p>
    <w:p>
      <w:r>
        <w:rPr>
          <w:b/>
        </w:rPr>
        <w:t>E. 2.1.1</w:t>
      </w:r>
    </w:p>
    <w:p>
      <w:r>
        <w:t>S'agissant de l'entretien des enfants, si la situation change notablement, le juge modifie ou supprime la contribution d'entretien à la demande du père, de la mère ou de l'enfant (art. 286 al. 2 CC par renvoi de l'art. 134 al. 2 CC).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w:t>
      </w:r>
    </w:p>
    <w:p>
      <w:r>
        <w:t>- 8/14 -</w:t>
      </w:r>
    </w:p>
    <w:p>
      <w:r>
        <w:t>C/3575/2020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144 III 349 consid. 5.1; 137 III 604 consid. 4.1.1.; arrêts du Tribunal fédéral 5A_154/2019 du 1er octobre 2019 consid. 4.1; 5A_400/2018 du 28 août 2018 consid. 3).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w:t>
      </w:r>
    </w:p>
    <w:p>
      <w:r>
        <w:rPr>
          <w:b/>
        </w:rPr>
        <w:t>E. 2.1.2</w:t>
      </w:r>
    </w:p>
    <w:p>
      <w:r>
        <w:t>L'imputation d'un revenu hypothétique ne concerne pas seulement les personnes qui ont volontairement réduit leurs revenus mais également celles qui n'exploitent pas pleinement leur capacité contributive, étant rappelé que les exigences à cet égard sont accrues lorsque la situation des parties est précaire et que le litige concerne l'obligation d'entretien d'un enfant mineur (cf. ATF 137 III 118 consid. 3.1; arrêt du Tribunal fédéral 5A_388/2020 du 10 septembre 2020 consid. 4.3).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w:t>
      </w:r>
    </w:p>
    <w:p>
      <w:r>
        <w:t>- 9/14 -</w:t>
      </w:r>
    </w:p>
    <w:p>
      <w:r>
        <w:t>C/3575/2020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Il n'est pas arbitraire de ne pas octroyer un délai à la personne qui renonce volontairement à une partie de ses ressources, notamment lorsque la diminution fait suite à un départ à l'étranger et à une prise d'un emploi moins lucratif consécutivement à ce déplacement.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5A_662/2013 du 24 juin 2014 consid. 3.3).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w:t>
      </w:r>
    </w:p>
    <w:p>
      <w:r>
        <w:t>- 10/14 -</w:t>
      </w:r>
    </w:p>
    <w:p>
      <w:r>
        <w:t>C/3575/2020</w:t>
      </w:r>
    </w:p>
    <w:p>
      <w:r>
        <w:rPr>
          <w:b/>
        </w:rPr>
        <w:t>E. 2.1.3</w:t>
      </w:r>
    </w:p>
    <w:p>
      <w:r>
        <w:t>Conformément à la jurisprudence et à la doctrine, le minimum vital du débiteur doit être établi en fonction du niveau de vie de son lieu de domicile à l'étranger (ATF 91 III 81 consid. 3; arrêts du Tribunal fédéral 5A_919/2012 du 11 février 2013 consid. 4.4 et 5A_904/2019 du 15 juin 2020 consid. 2.6.3 et les références citées). Dans la pratique, la différence de niveau de vie dans les différents pays est établie en se basant sur les statistiques établissant la parité des prix à la consommation, respectivement comparant le pouvoir d'achat à l'échelle internationale. Il s'agit dans ce cadre d'appliquer les rapports établis par les grandes banques ou les données de l'Office fédéral de la statistique, résultant des enquêtes menées par EUROSTAT, en collaboration avec l'OCDE et l'ONU (arrêts du Tribunal fédéral 5C.6/2002 du 11 juin 2002 consid 3a non publié in ATF 128 III 257; 5A_384/2007 du 3 octobre 2007 consid. 4.1; 5A_904/2019 du 15 juin 2020 consid. 2.6.3).</w:t>
      </w:r>
    </w:p>
    <w:p>
      <w:r>
        <w:rPr>
          <w:b/>
        </w:rPr>
        <w:t>E. 2.2.1</w:t>
      </w:r>
    </w:p>
    <w:p>
      <w:r>
        <w:t>En l'espèce, en examinant si une circonstance nouvelle et déterminante était apparue dans les situations personnelles et financières des parties depuis le prononcé du divorce, le Tribunal a retenu que le déménagement de l'appelant au Canada permettait à lui seul d'entrer en matière sur sa demande de modification. Au vu des circonstances de l'espèce, il aurait plutôt incombé au Tribunal de déterminer si ce changement de domicile à l'étranger était compatible avec les obligations de droit de la famille de l'appelant, plus précisément, s'il n'était pas en mesure de réaliser un salaire plus important, lui permettant de maintenir son niveau de vie antérieur, que ce soit en Suisse ou au Canada, et donc de poursuivre le paiement de la contribution d'entretien telle que fixée par le jugement de divorce. Or, le Tribunal a considéré qu'il n'était pas nécessaire d'imputer un revenu hypothétique à l'appelant, car sa condamnation à payer une contribution d'entretien résultant du jugement de divorce était de toute manière disproportionnée. Cette approche n'est pas soutenable dans la mesure où elle revient à tirer une conclusion - le montant à payer est trop élevé pour les revenus de l'appelant - alors que précisément les éléments permettant d'évaluer sa capacité contributive n'ont pas été réunis. En effet, le dossier est pratiquement vide d'informations sur la formation et l'expérience de l'appelant. Il est seulement établi qu'il occupait un emploi à l'époque du divorce et que son nouvel emploi au Canada est beaucoup moins rémunérateur, sans pour autant que l'on sache si cette baisse de revenu était évitable ou non. Bien que les difficultés liées à la crise sanitaire en cours ne doivent pas être minimisées lors de l'établissement des faits pertinents, en particulier pour</w:t>
      </w:r>
    </w:p>
    <w:p>
      <w:r>
        <w:t>- 11/14 -</w:t>
      </w:r>
    </w:p>
    <w:p>
      <w:r>
        <w:t>C/3575/2020 l'appelant domicilié au Canada, le juge de première instance aurait dû, en vertu de son devoir d'instruire d'office, obtenir des informations plus détaillées de l'appelant, afin de déterminer sa situation financière hypothétique, y compris à supposer qu'il fût resté en Suisse. Par conséquent, l'appréciation selon laquelle il existait un fait nouveau déterminant et durable justifiant la révision de la contribution de l'enfant et la conclusion selon laquelle celle-ci était répartie de manière disproportionnée reposent surtout sur des conjectures et sur des données incomplètes. Ainsi au vu du dossier à ce stade, il paraît peu conforme à l'équité de libérer partiellement l'appelant du paiement d'une contribution d'entretien alors qu'il a quitté l'Europe sur sa seule initiative pour un revenu lui permettant à peine de couvrir ses besoins minimaux, tout en laissant l'intimée s'occuper seule de leur enfant presque toute l'année. De son côté, l'intimée a, au contraire et en plus d'assumer seule les soins quotidiens de leur fils, ce alors que l'appelant ne lui verse depuis longtemps que très partiellement la contribution due, réussi à se maintenir dans une situation économique lui permettant d'assurer ses propres charges et de couvrir pour l'essentiel celle de l'enfant. Par conséquent, compte tenu du fait qu'un point essentiel de la cause n'a pas été tranché par le Tribunal et que l'état de fait doit être complété sur des points essentiels (art. 318 al. 3 let. a et b CPC), il y a lieu de retourner la cause au premier juge afin qu'il détermine plus précisément la capacité de gain de l'appelant, notamment au regard de sa formation et de son expérience professionnelle, ainsi que de sa situation maritale. Il incombera à l'appelant de démontrer qu'il n'a pas réussi, malgré des recherches sérieuses, à réaliser un revenu correspondant à sa capacité de gain hypothétique, que ce soit en Suisse ou au Canada, voire en France puisqu'il semble y avoir résidé après son départ de Suisse. Cela fait, le Tribunal déterminera à nouveau si un changement de circonstance important et durable existe, puis, cas échéant, procédera à la réévaluation des budgets des parties. Il sera rappelé que l'appréciation du Tribunal, au vu du caractère définitif et non provisionnelle de la décision à rendre, ne sera pas fondée sur la vraisemblance.</w:t>
      </w:r>
    </w:p>
    <w:p>
      <w:r>
        <w:rPr>
          <w:b/>
        </w:rPr>
        <w:t>E. 2.2.2</w:t>
      </w:r>
    </w:p>
    <w:p>
      <w:r>
        <w:t>Au regard de la motivation du jugement et des griefs de l'appelant, et en prévision de la nouvelle décision à rendre, il se justifie encore de souligner que la méthode adoptée par le premier juge pour calculer les charges de l'appelant au Canada n'est pas conforme au droit. En effet, le Tribunal ne pouvait pas se baser sur un article scientifique sans caractère officiel pour déterminer les besoins de l'appelant à l'étranger. Il devait plutôt, ainsi que cela est usuellement pratiqué, partir d'un calcul des charges</w:t>
      </w:r>
    </w:p>
    <w:p>
      <w:r>
        <w:t>- 12/14 -</w:t>
      </w:r>
    </w:p>
    <w:p>
      <w:r>
        <w:t>C/3575/2020 correspondantes en Suisse, pondérées en fonction du niveau de vie au Canada, cela à l'aide de statistique officielle ou pour le moins reconnue. Le débat auquel se livre l'appelant dans son appel sur le genre de charges à retenir, en rapport avec l'article scientifique susévoqué, résulte précisément de ce que rien ne permet d'affirmer que cette source est fondée sur des données statistiques officielles, ni qu'elle contiendrait des informations applicables à tout un chacun. Au contraire, il apparaît à première vue que cet article est un texte critiquant une méthode d'évaluation dont on ignore si elle est officielle (la mesure du panier de consommation) et proposant une méthode alternative pour trois types de famille, dont rien ne permet d'affirmer que l'appelant fasse partie de cette typologie. Il sied précisément d'éviter, dans les procédures matrimoniales telles que celle-ci, d'avoir à se livrer à l'exégèse de textes portant sur le pouvoir d'achat et les revenus dont l'autorité n'est pas établie, contrairement à ceux auxquels se réfère la jurisprudence. Il appartiendra donc au Tribunal de suivre la méthodologie préconisée par la jurisprudence, pour le cas où il arriverait à la conclusion que le budget des parties doit être réévalué.</w:t>
      </w:r>
    </w:p>
    <w:p>
      <w:r>
        <w:rPr>
          <w:b/>
        </w:rPr>
        <w:t>E. 2.3</w:t>
      </w:r>
    </w:p>
    <w:p>
      <w:r>
        <w:t>Le jugement entrepris sera donc annulé et la cause retournée à l'autorité de première instance.</w:t>
      </w:r>
    </w:p>
    <w:p>
      <w:r>
        <w:rPr>
          <w:b/>
        </w:rPr>
        <w:t>E. 3.1</w:t>
      </w:r>
    </w:p>
    <w:p>
      <w:r>
        <w:t>Les frais judiciaires d'appel seront arrêtés à 1'250 fr. (art. 32 et 35 RTFMC) et mis à la charge des parties pour moitié chacune, vu la nature familiale du litige (art. 105 al. 1, 106 al. 2 et. 107 al. 1 let. c CPC) et compensés avec l'avance de frais versée par l'appelant, qui demeure acquise à l'Etat de Genève (art. 111 al. 1 1ère phr. CPC). L'intimée sera condamnée à verser 625 fr. à l'appelant à titre de remboursement des frais (art. 111 al. 1 2nde phr. CPC).</w:t>
      </w:r>
    </w:p>
    <w:p>
      <w:r>
        <w:rPr>
          <w:b/>
        </w:rPr>
        <w:t>E. 3.2</w:t>
      </w:r>
    </w:p>
    <w:p>
      <w:r>
        <w:t>Pour les mêmes motifs, les parties conserveront à leur charge leurs propres dépens d'appel (art. 107 al. 1 let. c CPC). * * * * *</w:t>
      </w:r>
    </w:p>
    <w:p>
      <w:r>
        <w:t>- 13/14 -</w:t>
      </w:r>
    </w:p>
    <w:p>
      <w:r>
        <w:t>C/3575/2020 PAR CES MOTIFS, La Chambre civile : A la forme : Déclare recevable l'appel interjeté le 1er mars 2021 par A______ contre le jugement JTPI/835/2021 rendu le 22 janvier 2021 par le Tribunal de première instance dans la cause C/3575/2020. Au fond : Annule le jugement entrepris. Revoie la cause au Tribunal pour instruction et nouvelle décision, dans le sens des considérants. Déboute les parties de toutes autres conclusions. Sur les frais : Arrête les frais judiciaires d'appel à 1'250 fr., les met à la charge des parties pour moitié chacune et les compense avec l'avance de frais de même montant versée par A______, qui demeure acquise à l'Etat de Genève. Condamne B______ à verser 625 fr. à A______ à titre de remboursement des frais judiciaires d'appel. Dit que chaque partie supporte ses propres dépens d'appel. Siégeant : Madame Jocelyne DEVILLE-CHAVANNE, présidente; Madame Verena PEDRAZZINI RIZZI, Madame Nathalie LANDRY-BARTHE, juges; Madame Sophie MARTINEZ, greffière.</w:t>
      </w:r>
    </w:p>
    <w:p>
      <w:r>
        <w:t>- 14/14 -</w:t>
      </w:r>
    </w:p>
    <w:p>
      <w:r>
        <w:t>C/3575/2020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