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ACJC/136/2016 vom 8. Februar 2016</w:t>
      </w:r>
    </w:p>
    <w:p>
      <w:r>
        <w:t>GE Cour de justice, 2016-02-08, FR</w:t>
      </w:r>
    </w:p>
    <w:p>
      <w:r>
        <w:rPr>
          <w:b/>
        </w:rPr>
        <w:t xml:space="preserve">Quelle: </w:t>
      </w:r>
      <w:r>
        <w:t>https://mcp.opencaselaw.ch/entscheid/ge_gerichte_ACJC_136_2016</w:t>
      </w:r>
    </w:p>
    <w:p>
      <w:r>
        <w:t>FR: GE_GERICHTE ACJC/136/2016 du 8 février 2016</w:t>
      </w:r>
    </w:p>
    <w:p>
      <w:r>
        <w:t>IT: GE_GERICHTE ACJC/136/2016 del 8 febbraio 2016</w:t>
      </w:r>
    </w:p>
    <w:p>
      <w:pPr>
        <w:pStyle w:val="Heading2"/>
      </w:pPr>
      <w:r>
        <w:t>Volltext</w:t>
      </w:r>
    </w:p>
    <w:p>
      <w:r>
        <w:t>Le présent arrêt est communiqué aux parties par plis recommandés du 8 février 2016.</w:t>
      </w:r>
    </w:p>
    <w:p>
      <w:r>
        <w:t>RÉPUBLIQUE ET</w:t>
      </w:r>
    </w:p>
    <w:p>
      <w:r>
        <w:t>CANTON DE GENÈVE POUVOIR JUDICIAIRE C/10604/2015 ACJC/136/2016 ARRÊT DE LA COUR DE JUSTICE Chambre civile DU LUNDI 8 FÉVRIER 2016</w:t>
      </w:r>
    </w:p>
    <w:p>
      <w:r>
        <w:t>Entre Monsieur A______, domicilié ______, (GE), appelant d'un jugement rendu par la 8ème Chambre du Tribunal de première instance de ce canton le 1er décembre 2015, comparant par Me Catarina Monteiro Santos, avocate, 5, rue du Marché, case postale 5336, 1211 Genève 11, en l'étude de laquelle il fait élection de domicile, et Madame B______, domiciliée ______, Genève, intimée, comparant par Me Yves Mabillard avocat, 8, rue Saint-Léger, 1205 Genève, en l'étude duquel elle fait élection de domicile.</w:t>
      </w:r>
    </w:p>
    <w:p>
      <w:r>
        <w:t>- 2/4 -</w:t>
      </w:r>
    </w:p>
    <w:p>
      <w:r>
        <w:t>C/10604/2015 Vu, EN FAIT, le jugement JTPI/14496/2015 du 1er décembre 2015, notifié le 8 décembre 2015 à A______ aux termes duquel le Tribunal de première instance, statuant sur mesures protectrices de l'union conjugale, a, notamment, fixé la contribution d'entretien en faveur de B______ à 1'000 fr. par mois (ch. 2); Vu l'appel expédié le 18 décembre 2015 par A______ au greffe de la Cour de justice par lequel il conclut à l'annulation du chiffre 2 du dispositif précité et, principalement, à ce qu'il soit dit qu'il ne doit pas de contribution à l'entretien de son épouse; Qu'elle requiert à titre préalable l'octroi de l'effet suspensif, faisant valoir que son disponible de 532 fr. 75 ne lui permet pas de s'acquitter du montant mis à sa charge; Qu'invitée à se déterminer sur la requête d'effet suspensif, B______ conclut à son rejet, exposant que l'effort financier demandé à l'appelant est moindre que les inconvénients qui résultent pour elle du non-paiement de la contribution d'entretien pendant la procédure d'appel, étant précisé que le mari pourra compenser tout montant versé en trop avec les contributions futures;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réalise des revenus mensuels de 5'873 fr. 75; Qu'il allègue devoir assumer des charges de 5'341 fr. par mois, comportant un montant de 1'286 fr. 40 à titre de mensualité relative au remboursement d'un contrat de crédit; Que ce contrat de crédit a été conclu par l'appelant seul le 17 janvier 2015, quelques jours avant la séparation des parties;</w:t>
      </w:r>
    </w:p>
    <w:p>
      <w:r>
        <w:t>- 3/4 -</w:t>
      </w:r>
    </w:p>
    <w:p>
      <w:r>
        <w:t>C/10604/2015 Que selon les explications données en première instance par l'appelant, ce crédit aurait servi à l'acquisition d'une maison au Portugal et de mobilier pour celle-ci et au versement de diverses sommes aux enfants majeurs du couple; Qu'il apparaît ainsi, prima facie et sans préjudice de l'examen au fond, que ce contrat n'a pas été conclu d'un commun accord par les époux pour les besoins du ménage; Que, partant, il n'y a pas lieu d'en tenir compte dans les charges incompressibles de l'appelant; Qu'il en résulte que le paiement de la somme mensuelle de 1'000 fr. par l'appelant à l'intimée pendant la procédure d'appel ne porte pas atteinte au minimum vital du mari;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C/10604/2015 PAR CES MOTIFS, La Présidente de la Chambre civile : Statuant sur suspension de l'exécution : Rejette la requête de A______ tendant à la suspension de l'effet exécutoire attaché au chiffre 2 du dispositif du jugement JTPI/14496/2015 du 1er décembre 2015 par le Tribunal de première instance dans la procédure C/10604/2015-8.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