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ACJC/1369/2018 vom 15. November 2018</w:t>
      </w:r>
    </w:p>
    <w:p>
      <w:r>
        <w:t>GE Cour de justice, 2018-11-15, FR</w:t>
      </w:r>
    </w:p>
    <w:p>
      <w:r>
        <w:rPr>
          <w:b/>
        </w:rPr>
        <w:t xml:space="preserve">Quelle: </w:t>
      </w:r>
      <w:r>
        <w:t>https://mcp.opencaselaw.ch/entscheid/ge_gerichte_ACJC_1369_2018</w:t>
      </w:r>
    </w:p>
    <w:p>
      <w:r>
        <w:t>FR: GE_GERICHTE ACJC/1369/2018 du 15 novembre 2018</w:t>
      </w:r>
    </w:p>
    <w:p>
      <w:r>
        <w:t>IT: GE_GERICHTE ACJC/1369/2018 del 15 novembre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prescrits par la loi (art. 130, 131, 311 al. 1 CPC), l'appel est recevable.</w:t>
      </w:r>
    </w:p>
    <w:p>
      <w:r>
        <w:rPr>
          <w:b/>
        </w:rPr>
        <w:t>E. 2</w:t>
      </w:r>
    </w:p>
    <w:p>
      <w:r>
        <w:t>L'appel peut être formé pour violation du droit (art. 310 let. a CPC) et constatation inexacte des faits (art. 310 let. b CPC). Le juge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(arrêt du Tribunal fédéral 4A_55/2017 du 16 juin 2017 consid. 5.2.3.2).</w:t>
      </w:r>
    </w:p>
    <w:p>
      <w:r>
        <w:t>La maxime des débats et le principe de disposition sont applicables (art. 55 al. 1 et 58 al. 1 CPC).</w:t>
      </w:r>
    </w:p>
    <w:p>
      <w:r>
        <w:rPr>
          <w:b/>
        </w:rPr>
        <w:t>E. 3</w:t>
      </w:r>
    </w:p>
    <w:p>
      <w:r>
        <w:t>L'appelante requiert préalablement l'audition de O______.</w:t>
      </w:r>
    </w:p>
    <w:p>
      <w:r>
        <w:rPr>
          <w:b/>
        </w:rPr>
        <w:t>E. 3.1</w:t>
      </w:r>
    </w:p>
    <w:p>
      <w:r>
        <w:t>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 Le droit à la preuve, comme le droit à la contre-preuve, découlent de l'art. 8 CC ou, dans certains cas, de l'art. 29 al. 2 Cst., dispositions qui n'excluent pas l'appréciation anticipée des preuves. L'instance d'appel peut en particulier rejeter la requête de réouverture de</w:t>
      </w:r>
    </w:p>
    <w:p>
      <w:r>
        <w:t>- 9/13 -</w:t>
      </w:r>
    </w:p>
    <w:p>
      <w:r>
        <w:t>C/18661/2016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5A_851/2015 du 23 mars 2016 consid. 3.1).</w:t>
      </w:r>
    </w:p>
    <w:p>
      <w:r>
        <w:rPr>
          <w:b/>
        </w:rPr>
        <w:t>E. 3.2</w:t>
      </w:r>
    </w:p>
    <w:p>
      <w:r>
        <w:t>En l'espèce, le Tribunal a déjà entendu O______, en comparution personnelle, lors de l'audience du 1er juin 2017 et l'appelante n'expose pas en quoi sa nouvelle audition apporterait des faits supplémentaires susceptibles d'avoir un impact sur l'issue du litige. En effet, les nombreuses pièces produites ainsi que les différentes écritures des parties suffisent à trancher la question litigeuse, de sorte que cette audition ne serait pas de nature à apporter des éléments complémentaires pertinents, ni à prévaloir sur les pièces versées au dossier. Partant, il ne se justifie pas de procéder à l'audition sollicitée.</w:t>
      </w:r>
    </w:p>
    <w:p>
      <w:r>
        <w:t>L'affaire est ainsi en état d'être jugée.</w:t>
      </w:r>
    </w:p>
    <w:p>
      <w:r>
        <w:rPr>
          <w:b/>
        </w:rPr>
        <w:t>E. 4</w:t>
      </w:r>
    </w:p>
    <w:p>
      <w:r>
        <w:t>L'appelante reproche au premier juge d'avoir établi les faits de manière manifestement inexacte en constatant qu'elle avait échoué à prouver l'existence d'un contrat de courtage. Elle se plaint également d'une violation des art. 412ss et 18 CO, ainsi que de l'art. 85a LP.</w:t>
      </w:r>
    </w:p>
    <w:p>
      <w:r>
        <w:t>4.1.1 Le débiteur poursuivi peut agir en tout temps au for de la poursuite pour faire constater que la dette n'existe pas ou plus, ou qu'un sursis a été accordé (art. 85a al. 1 LP). S'il admet la demande, le tribunal ordonne l'annulation ou la suspension de la poursuite (art. 85a al. 3 LP).</w:t>
      </w:r>
    </w:p>
    <w:p>
      <w:r>
        <w:t>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En effet, l'introduction de cette action suppose l'existence d'un commandement de payer passé en force. La demande n'est donc recevable que si la poursuite est encore pendante au moment du jugement (SCHMIDT, Commentaire romand LP, 2005, n. 5 ad art. 85a LP).</w:t>
      </w:r>
    </w:p>
    <w:p>
      <w:r>
        <w:t>- 10/13 -</w:t>
      </w:r>
    </w:p>
    <w:p>
      <w:r>
        <w:t>C/18661/2016</w:t>
      </w:r>
    </w:p>
    <w:p>
      <w:r>
        <w:t>Dans l'action en annulation de la poursuite, c'est au créancier qu'il incombe d'établir sa prétention (arrêt du Tribunal fédéral 4A_96/2012 du 7 mai 2012 consid. 4 et les références citées).</w:t>
      </w:r>
    </w:p>
    <w:p>
      <w:r>
        <w:t>4.1.2 Le contrat de courtage est celui par lequel le courtier est chargé, moyennant un salaire, soit d'indiquer à l'autre partie l'occasion de conclure une convention (courtage d'indication), soit de lui servir d'intermédiaire pour la négociation d'un contrat (courtage de négociation) (art. 412 al. 1 CO). La pratique distingue encore le courtage de représentation, lorsque l'activité du courtier consiste à amener un tiers à entrer en relation avec le mandant en vue de négocier un contrat (RAYROUX, in Commentaire romand, CO I, 2ème éd., 2012, n. 1 et 4 ad art. 412 CO).</w:t>
      </w:r>
    </w:p>
    <w:p>
      <w:r>
        <w:t>Le courtier a droit à son salaire dès que l'indication qu'il a donnée ou la négociation qu'il a conduite aboutit à la conclusion du contrat (art. 413 al. 1 CO). Le droit du courtier à être rémunéré est ainsi subordonné à une condition potestative suspensive qui est l'acceptation du contrat par le mandant (arrêt du Tribunal fédéral 4A_309/2016 du 31 août 2016 consid. 2.1 et les références citées).</w:t>
      </w:r>
    </w:p>
    <w:p>
      <w:r>
        <w:t>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(arrêt du Tribunal fédéral 4A_309/2016 du 31 août 2016 consid. 2.1 et les références citées).</w:t>
      </w:r>
    </w:p>
    <w:p>
      <w:r>
        <w:rPr>
          <w:b/>
        </w:rPr>
        <w:t>E. 4.2</w:t>
      </w:r>
    </w:p>
    <w:p>
      <w:r>
        <w:t>En l'espèce, les griefs de l'appelante concernant l'existence d'un contrat de courtage peuvent souffrir de demeurer ouverts, pour les motifs qui vont suivre.</w:t>
      </w:r>
    </w:p>
    <w:p>
      <w:r>
        <w:t>Il ressort du dossier que les sociétés G______ SA et J______ SA étaient en litige depuis plusieurs années concernant une transaction passée et que O______ a proposé ses services à B______, ayant droit économique de G______ SA, afin de débloquer la situation.</w:t>
      </w:r>
    </w:p>
    <w:p>
      <w:r>
        <w:t>O______ a ensuite œuvré en tant qu'intermédiaire afin de négocier un contrat de vente immobilière entre D______ SA - dont B______ était également l'ayant droit économique - et J______ SA, concernant des actions de la société E______ SA. Son intervention a permis de conclure un contrat de vente, en date du 20 octobre 2015, entre D______ SA et J______ SA, permettant de solutionner le litige initial entre G______ SA et J______ SA.</w:t>
      </w:r>
    </w:p>
    <w:p>
      <w:r>
        <w:t>A teneur des pièces du dossier, deux notes d'honoraires de 216'000 fr. portant des numéros différents, soit n° 1______ et n° 2______ ont été établies par A______ et adressées par elle les 18 novembre 2015 et 11 janvier 2016 à D______ SA pour</w:t>
      </w:r>
    </w:p>
    <w:p>
      <w:r>
        <w:t>- 11/13 -</w:t>
      </w:r>
    </w:p>
    <w:p>
      <w:r>
        <w:t>C/18661/2016 l'activité de "transfert des actions de la société E______ SA à J______ SA", sans qu'il ne soit exposé les motifs des numéros de factures différents. Quoi qu'il en soit, ces notes portent toutes deux sur la même activité et sont adressées par A______ à D______ SA. Ces factures n'ont pas été établies par O______ et aucune d'elles n'a été adressée à B______ à titre personnel. La seule mention, dans le courrier du 20 novembre 2015, de ce que ce dernier était adressé à l'attention de l'intimé c/o D______ SA ne modifie pas cette appréciation. O______ ne conteste pas que A______ a agi en ses lieux et place pour l'établissement de la facture et le recouvrement de la commission de courtage litigieuse, puisqu'il a cédé ses droits à cette dernière. La question de savoir si cette cession est valable peut demeurer indécise, au vu des considérations qui suivent.</w:t>
      </w:r>
    </w:p>
    <w:p>
      <w:r>
        <w:t>O______ a en effet admis, dans son écriture de réponse, qu'une commission devait être versée par D______ SA pour le transfert des actions de la société E______ SA et il résulte de la procédure que les courriels échangés entre les différents intervenants ont quasiment toujours été adressés et expédiés depuis l'adresse électronique du groupe I______ SA et faisaient mention, sous "concerne", d'une affaire mettant en cause la société D______ SA ("D______ SA fund - agreement", "D______ SA Fund: follow up", "D______ SA", "Buildings for sale &amp; D______ SA", "D______ SA litigation"). En outre, O______, suite à l'envoi des deux factures citées ci-avant, s'est à nouveau adressé à D______ SA, le 14 janvier 2016, en vue du règlement de la commission de courtage.</w:t>
      </w:r>
    </w:p>
    <w:p>
      <w:r>
        <w:t>O______ est un courtier expérimenté. Ainsi, en adressant les notes d'honoraires à D______ SA par l'intermédiaire de A______ et en réitérant sa demande de règlement de la commission, auprès de D______ SA, il y a lieu d'admettre qu'il était clair, dans l'esprit de O______ que celle-ci était due par D______ SA et non par B______. Cette appréciation scelle dès lors l'issue du litige.</w:t>
      </w:r>
    </w:p>
    <w:p>
      <w:r>
        <w:t>Pour le surplus, il y a lieu de relever que le titre invoqué dans le commandement de payer poursuite n° 4______ est une note d'honoraires ("facture n° 5______") non produite à la présente procédure et ne correspondant pas à celles susmentionnées. Aucune précision, ni explication n'a été fournie par l'appelante à cet égard. Par conséquent, en l'absence d'une créance entre l'intimé et O______, c'est à bon droit que le premier juge n'a pas admis la légitimation passive de l'intimé dans la présente cause et a ainsi constaté l'inexistence de la créance qui lui était réclamée en poursuite.</w:t>
      </w:r>
    </w:p>
    <w:p>
      <w:r>
        <w:t>Au vu des motifs qui précèdent, le jugement entrepris sera entièrement confirmé.</w:t>
      </w:r>
    </w:p>
    <w:p>
      <w:r>
        <w:rPr>
          <w:b/>
        </w:rPr>
        <w:t>E. 5</w:t>
      </w:r>
    </w:p>
    <w:p>
      <w:r>
        <w:t>L'appelante, qui succombe entièrement, supportera les frais de son appel (art. 106 al. 1 CPC), arrêtés à 8'600 fr. (art. 95, 96, 104 al. 1 et 105 al. 1 CPC; art. 17 et</w:t>
      </w:r>
    </w:p>
    <w:p>
      <w:r>
        <w:t>- 12/13 -</w:t>
      </w:r>
    </w:p>
    <w:p>
      <w:r>
        <w:t>C/18661/2016 35 RTFMC), compensés avec l'avance de frais du même montant déjà versée, qui reste ainsi acquise à l'Etat de Genève (art. 111 al. 1 CPC).</w:t>
      </w:r>
    </w:p>
    <w:p>
      <w:r>
        <w:t>L'appelante sera également condamnée aux dépens de l'intimé, qui seront arrêtés à 6'000 fr., débours et TVA inclus (art. 95, 96, 104 al. 1 et 105 al. 2 CPC; art. 20, 23, 25 et 26 LaCC; art. 25 al. 1 LTVA; art. 84, 85 et 89 RTFMC), au regard de l'activité déployée par le conseil de ce dernier. * * * * *</w:t>
      </w:r>
    </w:p>
    <w:p>
      <w:r>
        <w:t>- 13/13 -</w:t>
      </w:r>
    </w:p>
    <w:p>
      <w:r>
        <w:t>C/18661/2016 PAR CES MOTIFS, La Chambre civile : A la forme : Déclare recevable l'appel interjeté le 12 janvier 2018 par A______ SA contre le jugement JTPI/16422/2017 rendu le 12 décembre 2017 par le Tribunal de première instance dans la cause C/18661/2016-22. Au fond : Confirme le jugement attaqué. Déboute les parties de toutes autres conclusions. Sur les frais : Arrête les frais judiciaires d'appel à 8'600 fr., les met à la charge de A______ SA et les compense avec l'avance de frais fournie, laquelle demeure acquise à l'État de Genève. Condamne A______ SA à verser à B______ 6'000 fr.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