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ACJC/1367/2018 vom 26. Juni 2018</w:t>
      </w:r>
    </w:p>
    <w:p>
      <w:r>
        <w:t>GE Cour de justice, 2018-06-26, FR</w:t>
      </w:r>
    </w:p>
    <w:p>
      <w:r>
        <w:rPr>
          <w:b/>
        </w:rPr>
        <w:t xml:space="preserve">Quelle: </w:t>
      </w:r>
      <w:r>
        <w:t>https://mcp.opencaselaw.ch/entscheid/ge_gerichte_ACJC_1367_2018</w:t>
      </w:r>
    </w:p>
    <w:p>
      <w:r>
        <w:t>FR: GE_GERICHTE ACJC/1367/2018 du 26 juin 2018</w:t>
      </w:r>
    </w:p>
    <w:p>
      <w:r>
        <w:t>IT: GE_GERICHTE ACJC/1367/2018 del 26 giugno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à cet égard.</w:t>
      </w:r>
    </w:p>
    <w:p>
      <w:r>
        <w:rPr>
          <w:b/>
        </w:rPr>
        <w:t>E. 2</w:t>
      </w:r>
    </w:p>
    <w:p>
      <w:r>
        <w:t>La recourante conteste le jugement attaqué en tant qu'il a distingué les art. 45 et 46 CDB 16. Selon elle, elle ne peut mettre fin à la relation contractuelle sans avoir préalablement respecté les modalités prescrites par l'art. 45 CDB 16 et bloqué le compte. Elle n'était toujours pas en mesure d'identifier l'ayant droit économique des titres déposés dans le portefeuille du compte de l'intimée. Elle se trouvait ainsi dans un cas d'impossibilité au sens de l'art. 119 al. 1 CO.</w:t>
      </w:r>
    </w:p>
    <w:p>
      <w:r>
        <w:rPr>
          <w:b/>
        </w:rPr>
        <w:t>E. 2.1.1</w:t>
      </w:r>
    </w:p>
    <w:p>
      <w:r>
        <w:t>Le créancier dont la poursuite se fonde sur une reconnaissance de dette constatée par acte authentique ou sous seing privé peut requérir la mainlevée provisoire (art. 82 al. 1 LP).</w:t>
      </w:r>
    </w:p>
    <w:p>
      <w:r>
        <w:t>Par reconnaissance de dette au sens de l'art. 82 al. 1 LP, il faut entendre notamment l'acte sous seing privé, signé par le poursuivi - ou son représentant (ATF 130 III 87 consid. 3.1) -, d'où ressort sa volonté de payer au poursuivant,</w:t>
      </w:r>
    </w:p>
    <w:p>
      <w:r>
        <w:t>- 5/9 -</w:t>
      </w:r>
    </w:p>
    <w:p>
      <w:r>
        <w:t>C/22203/2017 sans réserve ni condition, une somme d'argent déterminée, ou aisément déterminable, et exigible (ATF 136 III 624 consid. 4.2.2; 136 III 627 consid. 2).</w:t>
      </w:r>
    </w:p>
    <w:p>
      <w:r>
        <w:t>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w:t>
      </w:r>
    </w:p>
    <w:p>
      <w:r>
        <w:rPr>
          <w:b/>
        </w:rPr>
        <w:t>E. 2.1.2</w:t>
      </w:r>
    </w:p>
    <w:p>
      <w:r>
        <w:t>Le poursuivi peut faire échec à la mainlevée en rendant immédiatement vraisemblable sa libération (art. 82 al. 2 LP; arrêts du Tribunal fédéral 5A_577/2013 du 7 octobre 2013 consid. 4.3.1; 5A_878/2011 du 5 mars 2012 consid. 2.2; ATF 96 I 4 consid. 2), en se prévalant de tous les moyens de droit civil - exceptions ou objections - qui infirment la reconnaissance de dette (ATF 131 III 268 consid. 3.2), notamment l'inexistence ou l'extinction de la dette (arrêt du Tribunal fédéral 5A_465/2014 du 20 août 2014 consid. 7.2.1.3) et il n'a pas à apporter la preuve absolue (ou stricte) de ses moyens libératoires, mais seulement à les rendre vraisemblables, en principe par titre (art. 254 al. 1 CPC; arrêt du Tribunal fédéral 5A_878/2011 du 5 mars 2012 consid. 2.2).</w:t>
      </w:r>
    </w:p>
    <w:p>
      <w:r>
        <w:rPr>
          <w:b/>
        </w:rPr>
        <w:t>E. 2.1.3</w:t>
      </w:r>
    </w:p>
    <w:p>
      <w:r>
        <w:t>Selon l'art. 119 al. 1 CO, l'obligation s'éteint lorsque l'exécution en devient impossible par suite de circonstances non imputables au débiteur.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Certains auteurs distinguent également selon que l'impossibilité est objective, c'est-à-dire que ni le débiteur ni des tiers ne sont en mesure d'effectuer la prestation contractuelle (PICHONNAZ, Impossibilité et exorbitance, thèse Fribourg 1997, n. 325 et les références; THEVENOZ, Commentaire romand, 2ème éd. 2012, n. 4 ad art. 119 CO) ou subjective, lorsqu'une prestation devient impossible parce qu'elle se heurte à un obstacle insurmontable pour le débiteur (PICHONNAZ, op. cit., n. 340; contre cette distinction: cf. VON TUHR/ESCHER, Allgemeiner Teil des Schweizerischen Obligationenrechts, Band II, 3ème éd., 1974, par. 68 p. 94; cf. aussi AEPLI, Commentaire zurichois, 3ème éd., 1991, n. 49 ad art. 119 CO, qui exclut les cas d'impossibilité subjective du champ d'application de l'art. 119 CO). Le Tribunal fédéral adopte quant à lui une position plutôt large (ATF 57 II 532 consid. 1; 82 II 332 consid. 5; 116 II 512 consid. 2; cf. aussi ATF 126 III 75 consid. 2 b et c; arrêt du Tribunal fédéral 4C_378/2000 du 5 mars 2001 in SJ 2001 I 445, consid 3b). Le principe du respect de la garantie de l'activité irréprochable reste fondamentalement circonscrit au droit public, de sorte que seule l'autorité de</w:t>
      </w:r>
    </w:p>
    <w:p>
      <w:r>
        <w:t>- 6/9 -</w:t>
      </w:r>
    </w:p>
    <w:p>
      <w:r>
        <w:t>C/22203/2017 surveillance peut invoquer la violation de ce principe. La banque ne peut s'opposer aux instructions du client en invoquant simplement ce principe (LOMBARDINI, Banques et clients en situation fiscale irrégulière: un état des lieux, in Not@lex 2015, p. 33 ss, pp. 45-46).</w:t>
      </w:r>
    </w:p>
    <w:p>
      <w:r>
        <w:rPr>
          <w:b/>
        </w:rPr>
        <w:t>E. 2.1.4</w:t>
      </w:r>
    </w:p>
    <w:p>
      <w:r>
        <w:t>L'art. 45 CDB 16 ("date à laquelle les obligations de documentation doivent être remplies") dispose que, en règle générale, tous les documents requis pour la vérification de l'identité du cocontractant ainsi que pour l'identification du détenteur du contrôle et de l'ayant droit économique doivent avoir été obtenus dans leur intégralité et sous la forme voulue avant que le compte puisse être utilisé. Si quelques données et/ou documents seulement font défaut, le compte peut néanmoins être utilisé à titre exceptionnel, étant entendu que les données et/ou documents manquants doivent être obtenus dès que possible. Au plus tard après 90 jours, le compte doit être bloqué pour toutes les sorties de fonds et de valeurs jusqu'à ce que la documentation complète soit en possession de la banque. En outre, la banque peut mettre un terme à la relation d'affaires, pour autant que les dispositions des articles 9 ss LBA ne s'y opposent pas. L'art. 46 CDB 16 ("répétition des obligations de diligence prévues par la Convention") prévoit que la banque doit répéter la vérification de l'identité du cocontractant ainsi que l'identification du détenteur du contrôle ou de l'ayant droit économique lorsqu'un doute survient quant à l'exactitude des indications données sur l'identité du cocontractant (a), sur le point de savoir si le détenteur du contrôle est toujours le même (b), sur le point de savoir si l'ayant droit économique est toujours le même (c) ou quant à l'exactitude des déclarations faites au moyen des formulaires A, I, K, R, S et T et que ce doute n'a pas pu être levé par d'éventuelles clarifications (al. 1). La banque doit mettre fin dès que possible aux relations d'affaires en cours avec le cocontractant lorsqu'elle constate qu'elle a été trompée lors de la vérification de l'identité du cocontractant ou que des indications sciemment erronées lui ont été données à propos du détenteur du contrôle ou de l'ayant droit économique, ou lorsque des doutes subsistent au sujet des indications fournies par le cocontractant après que la procédure visée à l'alinéa 1 ait été menée à bien (al. 2). La relation d'affaires avec le cocontractant ne peut plus être rompue lorsque les conditions de l'obligation de communiquer (article 9 LBA) sont remplies (al. 3).</w:t>
      </w:r>
    </w:p>
    <w:p>
      <w:r>
        <w:rPr>
          <w:b/>
        </w:rPr>
        <w:t>E. 2.2</w:t>
      </w:r>
    </w:p>
    <w:p>
      <w:r>
        <w:t>En l'espèce, la recourante ne conteste pas le jugement attaqué en tant qu'il a considéré que le rapport de gestion du 6 avril 2017 constituait une reconnaissance de dette pour le montant de 130'207 fr. 43. Cette question ne sera dès lors pas davantage examinée. La recourante soutient en revanche qu'elle est tenue de bloquer le compte en vertu de l'art. 45 CDB 16 et se trouve ainsi dans l'impossibilité de restituer les avoirs déposés. Il ressort cependant du texte des art. 45 CDB 16 et 46 CDB 16 que ceux-</w:t>
      </w:r>
    </w:p>
    <w:p>
      <w:r>
        <w:t>- 7/9 -</w:t>
      </w:r>
    </w:p>
    <w:p>
      <w:r>
        <w:t>C/22203/2017 ci prévoient diverses obligations, soit avant que le compte puisse être utilisé ou dans un délai de 90 jours après la première utilisation selon le premier, soit après que la banque a reçu des informations pour le second, en cas de doute quant à l'exactitude de certaines indications données. Il importe peu de savoir si l'art. 46 CDB 16 s'applique uniquement au cours de la relation d'affaires, ou aussi, d'après la formulation plus large de l'art. 46 CDB 16 et comme l'indique le commentaire de la Convention par l'Association suisse des banquiers, au début ou lors de l'établissement de la relation d'affaires également. En effet, l'art. 45 CDB 16 n'est en tout état de cause vraisemblablement pas applicable en l'espèce puisque le compte a été utilisé, et cela au-delà de la période de 90 jours de l'art. 45 CDB 16. A teneur du texte de l'art. 46 CDB 16, la banque doit mettre fin à la relation si elle constate qu'elle a été trompée lors des vérifications qu'elle a effectuées. Cette disposition ne prévoit pas de renvoi à l'art. 45 CDB 16 quant à un éventuel blocage du compte. La sanction d'un éventuel défaut de renseignement quant à l'ayant droit économique des titres déposés ne peut donc vraisemblablement pas être un blocage du compte, contrairement à ce que soutient la recourante. Le blocage suppose par ailleurs l'existence d'une relation contractuelle. Or, une telle relation n'existe plus après sa résiliation par la recourante. La recourante explique également qu'elle ne peut s'exécuter sous peine de ne pas respecter son obligation d'exercer son activité de manière irréprochable. Elle ne peut cependant pas se prévaloir de cette obligation selon la doctrine pour s'opposer aux instructions de l'intimée. En outre, la recourante émet des doutes quant aux renseignements reçus concernant les titres déposés. L'intimée réclame cependant le versement des liquidités figurant sur son compte, à propos desquelles la recourante n'émet pas de doute. Les interrogations de la recourante quant aux informations fournies ne concernent donc pas les avoirs dont le versement est réclamé. Enfin, la recourante ne peut prétendre ignorer à qui elle devrait verser les avoirs liquides figurant sur le compte litigieux au motif qu'elle ne connaîtrait pas leur ayant droit économique. En effet, l'identification de l'ayant droit économique intervenant dans la lutte contre la criminalité économique, elle ne déploie aucun effet de droit privé. L'ayant droit économique n'est pas partie à la relation contractuelle, de sorte que, pour la banque, les rapports entre le titulaire du compte et l'ayant droit économique sont des res inter alios acta (arrêt du Tribunal fédéral 4C_108/2002 du 23 juillet 2002 consid. 3/c/aa). C'est dès lors bien à l'intimée qu'elle doit verser le montant réclamé.</w:t>
      </w:r>
    </w:p>
    <w:p>
      <w:r>
        <w:t>- 8/9 -</w:t>
      </w:r>
    </w:p>
    <w:p>
      <w:r>
        <w:t>C/22203/2017 En définitive, au vu de ce qui précède, la recourante n'a pas rendu vraisemblable qu'elle se trouvait dans un cas d'impossibilité au sens de l'art. 119 al. 1 CO. Le jugement attaqué est dès lors conforme au droit. Le recours n'est ainsi pas fondé, et, partant, il sera rejeté.</w:t>
      </w:r>
    </w:p>
    <w:p>
      <w:r>
        <w:rPr>
          <w:b/>
        </w:rPr>
        <w:t>E. 3</w:t>
      </w:r>
    </w:p>
    <w:p>
      <w:r>
        <w:t>La recourante, qui succombe, sera condamnée aux frais judiciaires (art. 106 al. 1 CPC), arrêtés à 1'125 fr. (art. 48 et 61 OELP) et compensés avec l'avance de frais du même montant opérée par ses soins, qui reste acquise à l'Etat de Genève (art. 111 al. 1 CPC). Elle sera également condamnée aux dépens de l'intimée, arrêtés à 1'000 fr. (art. 85, 88, 89 et 90 RTFMC). * * * * *</w:t>
      </w:r>
    </w:p>
    <w:p>
      <w:r>
        <w:t>- 9/9 -</w:t>
      </w:r>
    </w:p>
    <w:p>
      <w:r>
        <w:t>C/22203/2017 PAR CES MOTIFS, La Chambre civile : A la forme : Déclare recevable le recours interjeté par A______ contre le jugement JTPI/10224/2018 rendu le 26 juin 2018 par le Tribunal de première instance dans la cause C/22203/2017- 14 SML. Au fond : Rejette ce recours. Déboute les parties de toute autre conclusion. Sur les frais : Arrête les frais judiciaires à 1'125 fr., les met à la charge de A______ et dit qu'ils sont compensés avec l'avance fournie, qui reste acquise à l'Etat de Genève. Condamne A______ à verser la somme de 1'000 fr. à B______ à titre de dépens de recours.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