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ACJC/1360/2025 vom 6. Februar 2025</w:t>
      </w:r>
    </w:p>
    <w:p>
      <w:r>
        <w:t>GE Cour de justice, 2025-02-06, FR</w:t>
      </w:r>
    </w:p>
    <w:p>
      <w:r>
        <w:rPr>
          <w:b/>
        </w:rPr>
        <w:t xml:space="preserve">Quelle: </w:t>
      </w:r>
      <w:r>
        <w:t>https://mcp.opencaselaw.ch/entscheid/ge_gerichte_ACJC_1360_2025</w:t>
      </w:r>
    </w:p>
    <w:p>
      <w:r>
        <w:t>FR: GE_GERICHTE ACJC/1360/2025 du 6 février 2025</w:t>
      </w:r>
    </w:p>
    <w:p>
      <w:r>
        <w:t>IT: GE_GERICHTE ACJC/1360/2025 del 6 febbraio 2025</w:t>
      </w:r>
    </w:p>
    <w:p>
      <w:pPr>
        <w:pStyle w:val="Heading2"/>
      </w:pPr>
      <w:r>
        <w:t>Erwägungen</w:t>
      </w:r>
    </w:p>
    <w:p>
      <w:r>
        <w:rPr>
          <w:b/>
        </w:rPr>
        <w:t>E. 1.1.1</w:t>
      </w:r>
    </w:p>
    <w:p>
      <w:r>
        <w:t>Dans les affaires patrimoniales, l'appel est recevable contre les décisions de première instance sur mesures provisionnelles (art. 308 al. 1 let. b CPC), lorsque la valeur litigieuse au dernier état des conclusions est de 10'000 fr. au moins (art. 308 al. 2 CPC). La valeur litigieuse relative aux restrictions légales à la propriété foncière correspond à l'augmentation de valeur que la cessation des atteintes procurerait au bien-fonds qui les subit, ou, si elle est plus élevée, à la diminution de valeur que la cessation ferait subir au bien-fonds qui cause ces atteintes (voir ATF 45 II 402 consid. 1; arrêts 5A_653/2019 du 28 octobre 2019 consid. 1.1.1.1; 5A_774/2017 du 12 février 2018 consid. 1.2.4 et la référence).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147 IV 274 consid. 1.10.1; 138 I 49 consid. 8.3.1). On déduit du principe de la bonne foi que les parties ne doivent subir aucun préjudice en raison d'une indication inexacte des voies de droit (ATF 138 I 49 consid. 8.3.2). Elles ne doivent pas non plus pâtir d'une réglementation légale des voies de recours peu claire ou contradictoire (ATF 123 II 231 consid. 8b; arrêts 4A_516/2023 du 8 octobre 2024 consid. 5.2;</w:t>
      </w:r>
    </w:p>
    <w:p>
      <w:r>
        <w:t>- 6/12 -</w:t>
      </w:r>
    </w:p>
    <w:p>
      <w:r>
        <w:t>C/29891/2024 4A_573/2021 du 17 mai 2022 consid. 3; voir aussi ATF 144 II 401 consid. 3.1). En application de ces principes, l'autorité de recours traite le recours irrecevable comme un recours d'un autre type s'il en remplit les conditions (arrêt 4A_516/2023 précité consid. 5.2). Les indications erronées relatives aux voies de droit sont opposables à tous les tribunaux dans la mesure où elles sont avantageuses pour la partie qui s’en prévaut (art. 52 al. 2 CPC).</w:t>
      </w:r>
    </w:p>
    <w:p>
      <w:r>
        <w:rPr>
          <w:b/>
        </w:rPr>
        <w:t>E. 1.1.2</w:t>
      </w:r>
    </w:p>
    <w:p>
      <w:r>
        <w:t>En l'espèce, A______ forme un appel contre l'ordonnance entreprise, rappelant la teneur de l'art. 308 al. 1 let. b CPC. Il ne fournit en revanche aucune explication sur la valeur litigieuse minimale de 10'000 fr. qui doit être atteinte selon l'art. 308 al. 2 CPC pour ouvrir la voie de l'appel. En l'absence d'une quelconque explication quant à la valeur litigieuse qui peut être attribuée au présent litige et au vu des faits résultant de la procédure, il ne peut être retenu que la valeur litigieuse est supérieure à 10'000 fr. et, par conséquent, que la voie de l'appel est ouverte. Il doit donc être considéré que seule la voie du recours est ouverte puisqu'elle l'est contre les décisions provisionnelles de première instance qui ne peuvent faire l’objet d’un appel (cf. art. 319 let. a CPC). Dans la mesure où l'indication erronée de la voie de droit mentionnée par le Tribunal ne doit pas nuire à la partie qui s'y est fiée, l'acte déposé sera converti en recours.</w:t>
      </w:r>
    </w:p>
    <w:p>
      <w:r>
        <w:rPr>
          <w:b/>
        </w:rPr>
        <w:t>E. 1.2</w:t>
      </w:r>
    </w:p>
    <w:p>
      <w:r>
        <w:t>Le recours a été formé dans le délai utile de dix jours (art. 142 al. 3, 248 let. d et 321 al. 2 CPC) et respecte les exigences de forme prescrites par la loi (art. 130, 131 et 321 CPC), de sorte qu'il est recevable, dans les limites de ce qui suit.</w:t>
      </w:r>
    </w:p>
    <w:p>
      <w:r>
        <w:rPr>
          <w:b/>
        </w:rPr>
        <w:t>E. 1.3.1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w:t>
      </w:r>
    </w:p>
    <w:p>
      <w:r>
        <w:t>- 7/12 -</w:t>
      </w:r>
    </w:p>
    <w:p>
      <w:r>
        <w:t>C/29891/2024 qu'une autre solution serait envisageable, voire préférable (ATF 136 III 552 consid. 4.2; arrêt du Tribunal fédéral 4A_48/2023 du 22 mars 2023 consid. 2.2).</w:t>
      </w:r>
    </w:p>
    <w:p>
      <w:r>
        <w:rPr>
          <w:b/>
        </w:rPr>
        <w:t>E. 1.3.2</w:t>
      </w:r>
    </w:p>
    <w:p>
      <w:r>
        <w:t>En l'espèce, le recourant se limite à énumérer un certain nombre de faits qu'il voudrait intégrer à l'état de fait du Tribunal. Il n'explique cependant pas en quoi ils auraient été arbitrairement omis ou constatés. Les faits mentionnés ne sont en tout état de cause pas déterminants pour l'issue du litige au regard des conditions requises pour le prononcé des mesures provisionnelles et des considérations qui suivent. Les conditions auxquelles les faits tels que retenus par le Tribunal peuvent être complétés ou modifiés du fait qu'ils auraient été arbitrairement constatés ne sont donc pas remplies. La Cour se fondera donc sur les faits retenus par le Tribunal.</w:t>
      </w:r>
    </w:p>
    <w:p>
      <w:r>
        <w:rPr>
          <w:b/>
        </w:rPr>
        <w:t>E. 1.4</w:t>
      </w:r>
    </w:p>
    <w:p>
      <w:r>
        <w:t>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w:t>
      </w:r>
    </w:p>
    <w:p>
      <w:r>
        <w:rPr>
          <w:b/>
        </w:rPr>
        <w:t>E. 2</w:t>
      </w:r>
    </w:p>
    <w:p>
      <w:r>
        <w:t>Le recourant invoque une violation de son droit d'être entendu au motif que les pièces produites lors de l'audience du Tribunal du 3 février 2025 ne lui ont pas été transmises, à l'exception du bail à loyer, de sorte que les pièces sur lesquelles le Tribunal s'appuie et les faits retenus en lien avec lesdites pièces devraient être écartés.</w:t>
      </w:r>
    </w:p>
    <w:p>
      <w:r>
        <w:rPr>
          <w:b/>
        </w:rPr>
        <w:t>E. 2.1</w:t>
      </w:r>
    </w:p>
    <w:p>
      <w:r>
        <w:t>Compris comme l'un des aspects de la notion générale de procès équitable, le droit d'être entendu, tel qu'il est garanti par les art. 29 al. 2 Cst. et 6 par. 1 CEDH, comprend en particulier le droit, pour une partie à un procès,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la décision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références). Le droit d'être entendu étant de nature formelle, sa violation conduit en principe à l'annulation de la décision attaquée, indépendamment des chances de succès du recours sur le fond (ATF 144 I 11 consid. 5.3; 142 II 218 consid. 2.8.1; 137 I 195 consid. 2.2; 135 I 279 consid. 2.6.1). Le droit d'être entendu n'est toutefois pas une fin en soi; il constitue un moyen d'éviter qu'une procédure judiciaire aboutisse à</w:t>
      </w:r>
    </w:p>
    <w:p>
      <w:r>
        <w:t>- 8/12 -</w:t>
      </w:r>
    </w:p>
    <w:p>
      <w:r>
        <w:t>C/29891/2024 un jugement vicié en raison de la violation du droit des parties de participer à la procédure (arrêt du Tribunal fédéral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du Tribunal fédéral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5A_923/2018 du</w:t>
      </w:r>
    </w:p>
    <w:p>
      <w:r>
        <w:rPr>
          <w:b/>
        </w:rPr>
        <w:t>E. 2.2</w:t>
      </w:r>
    </w:p>
    <w:p>
      <w:r>
        <w:t>En l'espèce, selon l'ordonnance attaquée, l'intimée a produit lors de l'audience devant le Tribunal du 3 février 2025 des photographies satellites des parcelles, lesquelles laissent apparaître le chemin formé sur la parcelle n° 2______ entre la route 6 ______ [GE] et la parcelle n° 5______ en 2012 et en 2021. Il ressort du procès-verbal de l'audience qui s'est tenue devant le Tribunal que l'intimée a produit "des pièces", ce que le recourant pouvait donc savoir ne serait- ce qu'à la lecture dudit procès-verbal. Il ne s'est toutefois pas manifesté lors de ladite audience pour signaler qu'il ne recevait pas l'ensemble des pièces produites par l'intimée, ni immédiatement après, alors que le principe de la bonne foi et l'interdiction de l'abus de droit s'opposent à ce que des griefs qui auraient pu être soulevés à un stade antérieur de la procédure soient invoqués ultérieurement, une fois l'issue défavorable connue. Le recourant n'explique par ailleurs pas quelle influence décisive les faits ressortant des pièces précitées auraient eu sur l'issue du litige et quels arguments il aurait été empêché de faire valoir, le cas échéant devant la Cour, en lien avec lesdites pièces. Il ne sera dès lors pas donné suite à la requête du recourant tendant au retrait des pièces litigieuses de la procédure. Celles-ci ne sont, en tout état de cause, pas déterminantes pour l'issue du litige. 3. Le recourant soutient subir un préjudice difficilement réparable du fait que l'intimée pénètre plusieurs fois par jour sur la parcelle et qu'elle empêche les hoirs de disposer librement de leur droit de propriété et l'exploitant de cultiver la parcelle comme il l'entend. Le préjudice difficilement réparable résulterait également des dégâts causés au terrain résultant des passages sur la parcelle. L'urgence résulterait par ailleurs dans le fait que le trouble se répète quotidiennement et qu'il persiste. L'interdiction de pénétrer sans droit sur la parcelle devait prévaloir sur l'intérêt de l'intimée, qui ne disposait pas d'un droit intangible à stationner, par simple confort, devant chez elle.</w:t>
      </w:r>
    </w:p>
    <w:p>
      <w:r>
        <w:t>- 9/12 -</w:t>
      </w:r>
    </w:p>
    <w:p>
      <w:r>
        <w:t>C/29891/2024 3.1 3.1.1 En vertu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Le tribunal peut ordonner toute mesure provisionnelle propre à prévenir ou à faire cesser le préjudice et notamment prononcer une interdiction (art. 262 let. a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 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 Celui qui requiert des mesures provisionnelles doit rendre vraisemblable qu'une prétention dont il est titulaire est l'objet d'une atteinte – ou risque de l'être – et qu'il s'expose de ce fait à un préjudice difficilement réparable (ATF 139 III 86 consid. 5; arrêt du Tribunal fédéral 5D_219/2017 du 24 août 2018 consid. 4.2.2).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CPC). Il doit en outre rendre vraisemblable une atteinte au droit ou son imminence, sur la base d'éléments objectifs (BOHNET, op. cit., n. 10 ad art. 261 CPC). L'atteinte, tout comme le risque de sa survenance, doit être concrète. En d'autres termes, le requérant doit avoir des raisons sérieuses de craindre la survenance d'une atteinte, un simple risque abstrait n'étant pas suffisant (JEANDIN, Mesures provisionnelles en matière civile, in: Les mesures provisionnelles en procédure civile, pénale et administrative, 2015, n° 15, p. 10).</w:t>
      </w:r>
    </w:p>
    <w:p>
      <w:r>
        <w:t>- 10/12 -</w:t>
      </w:r>
    </w:p>
    <w:p>
      <w:r>
        <w:t>C/29891/2024 Doit également être rendue vraisemblable l'existence d'un préjudice difficilement réparable, qui peut être de nature patrimoniale ou immatérielle (Message relatif au CPC, FF 2006 p. 6961; BOHNET, op. cit., n. 11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122; BOHNET, op. cit., n. 12 ad art. 261 CPC).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 3.1.2 Selon l'article 641 al. 2 CC, le propriétaire d'une chose peut la revendiquer contre quiconque la détient sans droit et repousser toute usurpation. L'action négatoire prévue par cette disposition permet au propriétaire d'agir lorsque la maîtrise de son bien fait l'objet d'une atteinte illicite autre qu'une dépossession. Le trouble doit être direct, en ce sens que le fonds du demandeur doit être mis directement à contribution. Le fait de pénétrer sur le fonds d'autrui ou d'y stationner constitue par exemple des atteintes directes (FOËX, Commentaire romand, CC II, 2016, n. 36, 41 et 42 ad art. 641 CC). 3.2 En l'espèce, le recourant ne peut tirer aucun argument du fait que, par ses agissements, l'intimée trouble le droit de propriété des hoirs puisque le Tribunal a considéré qu'ils disposaient vraisemblablement d'une prétention au fond. Cette seule circonstance ne suffit toutefois pas pour que soient ordonnées les mesures provisionnelles requises même si, comme le recourant le soutient, le trouble se répète quotidiennement, ce qui ne constitue pas un critère suffisant pour l'octroi de mesures provisionnelles. Le prononcé de mesures provisionnelles répond à des</w:t>
      </w:r>
    </w:p>
    <w:p>
      <w:r>
        <w:t>- 11/12 -</w:t>
      </w:r>
    </w:p>
    <w:p>
      <w:r>
        <w:t>C/29891/2024 conditions supplémentaires et ne consiste pas simplement en une procédure ordinaire "accélérée" lorsqu'une partie dispose, vraisemblablement, d'une prétention. Le fait que la parcelle des hoirs serait endommagée ne permet pas de retenir qu'ils subissent un préjudice qui pourrait être qualifié de difficilement réparable dans la mesure où, même s'il fallait retenir que le passage de l'intimée endommage la parcelle, le recourant n'explique pas pourquoi sa remise en état ne pourrait pas intervenir à l'issue de la procédure au fond, que plus difficilement ou que de manière partielle. Le recourant ne peut par ailleurs se prévaloir de l'arrêt du Tribunal fédéral 5A_826/2022 du 24 février 2023 selon lequel le fait d'être privé de l'usage d'un appartement entraînerait un préjudice difficilement réparable, dans la mesure où, contrairement à cette affaire, les hoirs ne sont pas privés de l'usage de leurs parcelles, seul le passage de l'intimée sur celle-ci étant litigieux. Le recourant n'explique par ailleurs pas quel préjudice difficilement réparable les hoirs subiraient du fait que le travail de l'agriculteur exploitant les parcelles nos 1______ et 2______ serait rendu plus difficile par le passage qui divise celles- ci en deux sur la largeur. Les explications de l'agriculteur ne rendent, en tout état de cause, pas suffisamment vraisemblable que ce dernier ne pourrait pas exploiter les parcelles en raison du passage du véhicule de l'intimée et de leur "division" et ainsi que la situation présente une quelconque urgence. Enfin, le recourant a déposé sa requête de mesures provisionnelles six mois après que F______ a exposé, le 24 juin 2024, les raisons pour lesquelles elle estimait que l'autorisation de passer devait être maintenue et donc s'opposait à sa suppression. Cette circonstance permet également de nier la vraisemblance d'une quelconque urgence. Au vu de ce qui précède, c'est à bon droit que le Tribunal a considéré que les conditions pour le prononcé des mesures provisionnelles requises n'étaient pas réunies. L'ordonnance attaquée sera dès lors confirmée. 4. Le recourant, qui succombe, sera condamné aux frais judicaires de la procédure (art. 106 al. 1 CPC), arrêtés à 800 fr. (art. 38 et 26 RTFMC), compensés avec l'avance fournie, qui reste acquise à l'État de Genève (art 111 al. 1 CPC). Il ne sera pas alloué de dépens à l'intimée, qui comparaît en personne et n'a pas exposé avoir entrepris des démarches le justifiant (art. 95 al. 3 let. c CPC). * * * * *</w:t>
      </w:r>
    </w:p>
    <w:p>
      <w:r>
        <w:t>- 12/12 -</w:t>
      </w:r>
    </w:p>
    <w:p>
      <w:r>
        <w:t>C/29891/2024 PAR CES MOTIFS, La Chambre civile : A la forme : Déclare recevable le recours interjeté par A______ contre l'ordonnance OTPI/104/2025 rendue le 6 février 2025 par le Tribunal de première instance dans la cause C/29891/2024–S1 SP. Au fond : Rejette ce recours. Déboute les parties de toutes autres conclusions. Sur les frais : Arrête les frais judiciaires à 800 fr., les met à la charge de A______ et dit qu'ils sont compensés avec l'avance fournie, qui reste acquise à l'État de Genève. Dit qu'il n'est pas alloué de dépens. Siégeant : Madame Fabienne GEISINGER-MARIETHOZ, présidente; Monsieur Laurent RIEBEN, Monsieur Ivo BUETTI, juges; Madame Marie-Pierre GROSJEAN, greffière. La présidente : Fabienne GEISINGER-MARIETHOZ</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indéterminées.</w:t>
      </w:r>
    </w:p>
    <w:p>
      <w:r>
        <w:rPr>
          <w:b/>
        </w:rPr>
        <w:t>E. 6</w:t>
      </w:r>
    </w:p>
    <w:p>
      <w:r>
        <w:t>mai 2019 consid. 4.2.1 et les autres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