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ACJC/1360/2014 vom 7. November 2014</w:t>
      </w:r>
    </w:p>
    <w:p>
      <w:r>
        <w:t>GE Cour de justice, 2014-11-07, FR</w:t>
      </w:r>
    </w:p>
    <w:p>
      <w:r>
        <w:rPr>
          <w:b/>
        </w:rPr>
        <w:t xml:space="preserve">Quelle: </w:t>
      </w:r>
      <w:r>
        <w:t>https://mcp.opencaselaw.ch/entscheid/ge_gerichte_ACJC_1360_2014</w:t>
      </w:r>
    </w:p>
    <w:p>
      <w:r>
        <w:t>FR: GE_GERICHTE ACJC/1360/2014 du 7 novembre 2014</w:t>
      </w:r>
    </w:p>
    <w:p>
      <w:r>
        <w:t>IT: GE_GERICHTE ACJC/1360/2014 del 7 novembre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cause est de nature patrimoniale s'agissant de contributions d'entretien en faveur de l'intimé. La valeur capitalisée de celles-ci au sens de l'art. 92 CPC est supérieure à 10'000 fr., compte tenu des montants litigieux devant le premier juge, correspondant à la différence entre le montant fixé par le jugement du 23 juin 2011 et la suppression requise par l'appelant (600 fr. x 12 x 20).</w:t>
      </w:r>
    </w:p>
    <w:p>
      <w:r>
        <w:t>Formé en temps utile et selon la forme requise (art. 130 et 311 CPC), par une partie qui y a intérêt, l'appel est recevable.</w:t>
      </w:r>
    </w:p>
    <w:p>
      <w:r>
        <w:rPr>
          <w:b/>
        </w:rPr>
        <w:t>E. 1.2</w:t>
      </w:r>
    </w:p>
    <w:p>
      <w:r>
        <w:t>La Cour revoit la cause en fait et en droit avec un plein pouvoir d'examen (art. 310 CPC).</w:t>
      </w:r>
    </w:p>
    <w:p>
      <w:r>
        <w:t>- 6/12 -</w:t>
      </w:r>
    </w:p>
    <w:p>
      <w:r>
        <w:t>C/13203/2013</w:t>
      </w:r>
    </w:p>
    <w:p>
      <w:r>
        <w:t>La procédure simplifiée est applicable (art. 295 CPC).</w:t>
      </w:r>
    </w:p>
    <w:p>
      <w:r>
        <w:t>En ce qui concerne la fixation de la contribution d'entretien due à un enfant mineur, les maximes inquisitoire et d'office illimitée régissent la procédure (art. 296 al. 1, 55 al. 2 et 58 al. 2 CPC). La Cour n'est ainsi pas liée par les conclusions des parties (art. 296 al. 3 CPC).</w:t>
      </w:r>
    </w:p>
    <w:p>
      <w:r>
        <w:rPr>
          <w:b/>
        </w:rPr>
        <w:t>E. 2</w:t>
      </w:r>
    </w:p>
    <w:p>
      <w:r>
        <w:t>A l'appui de leurs écritures en appel, les parties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Il sera, partant, tenu compte de l'ensemble des documents nouvellement produits devant la Cour, en tant qu'ils permettent d'établir la situation financière des parties. 3. 3.1 Aux termes de l'art. 286 al. 2 CC, si la situation change notablement, le juge modifie ou supprime la contribution d'entretien à la demande du père, de la mère ou de l'enfant. Cette modification ou suppression suppose que des faits nouveaux</w:t>
      </w:r>
    </w:p>
    <w:p>
      <w:r>
        <w:t>- 7/12 -</w:t>
      </w:r>
    </w:p>
    <w:p>
      <w:r>
        <w:t>C/13203/2013 importants et durables surviennent, qui commandent une réglementation différente. La procédure de modification n'a en effet pas pour but de corriger le premier jugement, mais de l'adapter aux circonstances nouvelles (ATF 137 III 604 consid. 4.1.1; 131 III 189 consid. 2.7.4; arrêts du Tribunal fédéral 5A_186/2012 du 28 juin 2012 consid. 5.2.2; 5A_193/2012 du 30 août 2012 consid. 3). Le moment déterminant pour apprécier si des circonstances nouvelles se sont produites est la date du dépôt de la demande de modification (ATF 137 III 604 consid. 4.1.1 et 120 II 285 consid. 4b).</w:t>
      </w:r>
    </w:p>
    <w:p>
      <w:r>
        <w:t>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w:t>
      </w:r>
    </w:p>
    <w:p>
      <w:r>
        <w:t>Parmi les circonstances nouvelles figurent une modification des besoins de l'enfant, un changement important de la situation économique du débiteur et/ou une modification de la situation familiale, telle que la naissance de demi-frères ou demi-sœurs (ATF 120 II 177 consid. 3a; arrêt du Tribunal fédéral 5C.78/2001 du 24 août 2001 consid. 2a; arrêt du Tribunal fédéral 5P.26/2000 du 10 avril 2000, publié in FamPra.ch 2000 p. 552; PERRIN, Commentaire romand, Code civil I, n. 8 ad art. 286 CC).</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5A_634/2013 précité consid. 3.1.1).</w:t>
      </w:r>
    </w:p>
    <w:p>
      <w:r>
        <w:t>Lorsqu'il admet que les conditions susmentionnées sont remplies, le juge doit alors fixer à nouveau la contribution d'entretien, après avoir actualisé tous les éléments pris en compte pour le calcul dans le jugement précédent (ATF 137 III 604 consid. 4.1.2; arrêt du Tribunal fédéral 5A_634/2013 précité consid. 3.1.1).</w:t>
      </w:r>
    </w:p>
    <w:p>
      <w:r>
        <w:t>La modification ou la suppression ne peut être demandée que pour la période ultérieure au dépôt de la demande de modification, la rétroactivité prévue par l'art. 279 CC constituant un privilège pour l'enfant et ne profitant pas, par analogie, au</w:t>
      </w:r>
    </w:p>
    <w:p>
      <w:r>
        <w:t>- 8/12 -</w:t>
      </w:r>
    </w:p>
    <w:p>
      <w:r>
        <w:t>C/13203/2013 débirentier qui agit en réduction ou en suppression de la contribution (ATF 127 III 503 consid. 3b/aa).</w:t>
      </w:r>
    </w:p>
    <w:p>
      <w:r>
        <w:t>3.2 En l'espèce, l'action en suppression, subsidiairement en modification actuellement soumise à la Cour a été déposée en conciliation le 14 juin 2013.</w:t>
      </w:r>
    </w:p>
    <w:p>
      <w:r>
        <w:t>La litispendance ayant été liée par le dépôt de l'action en conciliation, cette date constitue le moment déterminant pour juger de la survenance de circonstances nouvelles justifiant une modification ou une suppression de la contribution. 4. L'appelant conteste la prise en charge d'un revenu hypothétique en lieu et place de son revenu effectif. Il se prévaut d'une baisse significative de son revenu, celui-ci s'élevant actuellement à 439,39 EUR depuis mai 2014alors qu'il était précédemment de 2'038 fr. par mois.</w:t>
      </w:r>
    </w:p>
    <w:p>
      <w:r>
        <w:t>4.1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(ATF 137 III 118 consid. 3.1 p. 121; arrêt du Tribunal fédéral 5A_763/2013 du 11 avril 2014 consid. 3.1).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p. 108; 128 III 4 consid. 4c/bb p. 7 s.). Pour arrêter le montant du salaire, le juge peut éventuellement se baser sur l'enquête suisse sur la structure des salaires, réalisée par l'Office fédéral de la statistique, ou sur d'autres sources (ATF 137 III 118 consid. 3.2 p. 122).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w:t>
      </w:r>
    </w:p>
    <w:p>
      <w:r>
        <w:t>- 9/12 -</w:t>
      </w:r>
    </w:p>
    <w:p>
      <w:r>
        <w:t>C/13203/2013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w:t>
      </w:r>
    </w:p>
    <w:p>
      <w:r>
        <w:t>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5C.154/1996 du 2 septembre 1997 consid. 3b).</w:t>
      </w:r>
    </w:p>
    <w:p>
      <w:r>
        <w:t>4.2 Dans le cas d'espèce, la Cour de justice, dans son arrêt du 12 janvier 2012, a imputé à l'appelant, titulaire d'un bachelor en chimie, âgé de 30 ans et avec une capacité de gain entière, un revenu hypothétique mensuel de 3'407 fr. 50, correspondant au revenu qu'il pouvait réaliser en travaillant à temps complet dans l'internet café qui l'employait à l'époque.</w:t>
      </w:r>
    </w:p>
    <w:p>
      <w:r>
        <w:t>L'appelant soutient qu'il convient de tenir compte de son revenu réel actuel et reproche au Tribunal de lui avoir imputé un revenu hypothétique.</w:t>
      </w:r>
    </w:p>
    <w:p>
      <w:r>
        <w:t>L'appelant dispose d'une formation dans le domaine de la chimie et a obtenu une charte d'agrément en finance. Il s'est borné à chercher du travail dans le domaine de la chimie (assistanat scientifique, production industrielle) et dans le domaine de la finance. En dernier lieu, il a travaillé le soir dans un café Internet pendant plus d'une année. Il a été licencié, de son propre aveu, au motif qu'il n'était pas très assidu. Il n'a pas recherché du travail dans ce même domaine, ni dans celui de la restauration ou de la vente.</w:t>
      </w:r>
    </w:p>
    <w:p>
      <w:r>
        <w:t>Les documents produits par l'appelant ne permettent pas de déterminer la réalité des recherches d'emploi qu'il a réellement effectuées. En effet, il s'est borné à produire un listing établi par lui-même de 25 recherches d'emploi effectuées entre juillet 2012 et fin octobre 2013, représentant une offre et demi par mois. Ce listing</w:t>
      </w:r>
    </w:p>
    <w:p>
      <w:r>
        <w:t>- 10/12 -</w:t>
      </w:r>
    </w:p>
    <w:p>
      <w:r>
        <w:t>C/13203/2013 n'est par ailleurs accompagné d'aucune pièce justificative, ni de réponses données à ces offres d'emploi.</w:t>
      </w:r>
    </w:p>
    <w:p>
      <w:r>
        <w:t>Il a également versé des extraits d'envois d'emails, mais n'a ni fourni l'intégralité des courriels envoyés ni les suites données à ceux-ci.</w:t>
      </w:r>
    </w:p>
    <w:p>
      <w:r>
        <w:t>Comme le Tribunal, la Cour retient que l'appelant n'a ainsi pas démontré avoir fourni tous les efforts qui pouvaient être raisonnablement exigés de lui pour trouver un emploi.</w:t>
      </w:r>
    </w:p>
    <w:p>
      <w:r>
        <w:t>L'appelant, âgé de 32 ans et en bonne santé, n'a pas allégué de circonstances de nature à l'entraver dans l'exercice d'une activité lucrative. Comme relevé ci- dessus, il dispose d'une formation en chimie et en finance, ainsi que d'une expérience professionnelle dans le domaine de la vente au sens large.</w:t>
      </w:r>
    </w:p>
    <w:p>
      <w:r>
        <w:t>Par ailleurs, l'appelant s'est contenté de verser à la procédure un relevé des montants reçus du Pôle Emploi, lesquels sont fluctuants; il n'a toutefois pas produit les décomptes de ces prestations, de sorte qu'il n'est pas possible de déterminer s'il a fait ou non l'objet de sanction de cette autorité et le cas échéant, pour quel motif.</w:t>
      </w:r>
    </w:p>
    <w:p>
      <w:r>
        <w:t>En toute hypothèse, et selon la jurisprudence constante rappelée ci-avant, le juge civil n'est pas lié par l'instruction menée par les autorités administratives en matière de chômage ou d'assistance sociale.</w:t>
      </w:r>
    </w:p>
    <w:p>
      <w:r>
        <w:t>La Cour, comme le Tribunal, retient qu'en l'absence d'un empêchement objectif, il peut être exigé de l'appelant qu'il exerce une activité lucrative à plein-temps. Le salaire qu'il est en mesure de réaliser s'élève à 3'407 fr. par mois, montant retenu par la Cour de justice dans son précédent arrêt. Dans le secteur de la vente (commerce de détail), activité ne nécessitant pas de formation particulière, le salaire mensuel brut est de 4'574 fr. (structure des salaires en Suisse de l'Office fédéral de la statistique; www.bfs.admin.ch), représentant 4'116 fr. net par mois.</w:t>
      </w:r>
    </w:p>
    <w:p>
      <w:r>
        <w:t>Il peut de plus être exigé de l'appelant, contrairement à ce qu'il allègue, qu'il exerce une activité lucrative en Suisse, à Genève, dès lors qu'il travaillait précédemment dans ce canton et que son domicile se situe en zone frontalière immédiate.</w:t>
      </w:r>
    </w:p>
    <w:p>
      <w:r>
        <w:t>Dès lors, il sera retenu que le revenu hypothétique de l'appelant oscille entre 3'407 fr. et 4'116 fr. par mois, que la situation financière de l'appelant ne s'est ainsi pas durablement et sensiblement modifiée depuis le prononcé, le 12 janvier 2012, de l'arrêt de la Cour de justice (ACJC/2______) dont la modification est demandée.</w:t>
      </w:r>
    </w:p>
    <w:p>
      <w:r>
        <w:t>- 11/12 -</w:t>
      </w:r>
    </w:p>
    <w:p>
      <w:r>
        <w:t>C/13203/2013</w:t>
      </w:r>
    </w:p>
    <w:p>
      <w:r>
        <w:t>Compte tenu de l'ensemble des éléments qui précèdent, c'est à bon droit que le premier juge a rejeté la demande de suppression de la contribution d'entretien due à l'intimé.</w:t>
      </w:r>
    </w:p>
    <w:p>
      <w:r>
        <w:t>4.3 L'appelant sera en conséquence débouté de l'ensemble de ses conclusions.</w:t>
      </w:r>
    </w:p>
    <w:p>
      <w:r>
        <w:rPr>
          <w:b/>
        </w:rPr>
        <w:t>E. 5</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Les frais judiciaires d'appel comprennent l'émolument forfaitaire de décision (art. 95 al. 2 let. b CPC), celui-ci étant fixé à 1'000 fr. (art. 104 al. 1, 105 et 106 al. 1 CPC; art. 28 et 32 du Règlement fixant le tarif des greffes en matière civile, RS/GE RTFMC - E 1 05.10). Ils seront mis à la charge de l'appelant, qui succombe; toutefois, comme celui-ci est au bénéfice de l'assistance juridique, les frais judiciaires seront mis provisoirement à la charge de l'Etat (art. 122 al. 1 let. b, 123 CPC et 19 RAJ).</w:t>
      </w:r>
    </w:p>
    <w:p>
      <w:r>
        <w:t>Pour le surplus, les parties conserveront à leur charge leur propres dépens (art. 107 al. 1 let. c CPC).</w:t>
      </w:r>
    </w:p>
    <w:p>
      <w:r>
        <w:rPr>
          <w:b/>
        </w:rPr>
        <w:t>E. 6</w:t>
      </w:r>
    </w:p>
    <w:p>
      <w:r>
        <w:t>La valeur litigieuse des conclusions est supérieure à 30'000 fr. * * * * *</w:t>
      </w:r>
    </w:p>
    <w:p>
      <w:r>
        <w:t>- 12/12 -</w:t>
      </w:r>
    </w:p>
    <w:p>
      <w:r>
        <w:t>C/13203/2013 PAR CES MOTIFS, La Chambre civile : A la forme : Déclare recevable l'appel interjeté le 2 mai 2014 par A______ contre le jugement JTPI/3463/2014 rendu le 11 mars 2014 par le Tribunal de première instance dans la cause C/13203/2013-17. Au fond : Confirme ce jugement. Déboute les parties de toutes autres conclusions. Sur les frais : Arrête les frais judiciaires à 1'000 fr. et les met à la charge de A______. Dit qu'ils sont provisoirement supportés par l'Etat.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