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ACJC/1357/2019 vom 23. September 2019</w:t>
      </w:r>
    </w:p>
    <w:p>
      <w:r>
        <w:t>GE Cour de justice, 2019-09-23, FR</w:t>
      </w:r>
    </w:p>
    <w:p>
      <w:r>
        <w:rPr>
          <w:b/>
        </w:rPr>
        <w:t xml:space="preserve">Quelle: </w:t>
      </w:r>
      <w:r>
        <w:t>https://mcp.opencaselaw.ch/entscheid/ge_gerichte_ACJC_1357_2019</w:t>
      </w:r>
    </w:p>
    <w:p>
      <w:r>
        <w:t>FR: GE_GERICHTE ACJC/1357/2019 du 23 septembre 2019</w:t>
      </w:r>
    </w:p>
    <w:p>
      <w:r>
        <w:t>IT: GE_GERICHTE ACJC/1357/2019 del 23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valeur litigieuse est supérieure à 10'000 fr.</w:t>
      </w:r>
    </w:p>
    <w:p>
      <w:r>
        <w:rPr>
          <w:b/>
        </w:rPr>
        <w:t>E. 1.2</w:t>
      </w:r>
    </w:p>
    <w:p>
      <w:r>
        <w:t>L'appel a été interjeté dans le délai et suivant la forme prescrits par la loi (art. 130, 131, 311 al. 1 CPC). Il est ainsi recevable.</w:t>
      </w:r>
    </w:p>
    <w:p>
      <w:r>
        <w:rPr>
          <w:b/>
        </w:rPr>
        <w:t>E. 2</w:t>
      </w:r>
    </w:p>
    <w:p>
      <w:r>
        <w:t>Les appelants reprochent au Tribunal d'avoir retenu que la procédure en protection du cas clair était applicable, relevant que le montant auquel ils ont été condamnés</w:t>
      </w:r>
    </w:p>
    <w:p>
      <w:r>
        <w:t>- 4/6 -</w:t>
      </w:r>
    </w:p>
    <w:p>
      <w:r>
        <w:t>C/10511/2019 trouvait son fondement dans une convention d'accord qui réglait un litige global, impliquant un tiers, qui ne relevait pas du contrat de bail et qui ne prévoyait pas de solidarité entre eux.</w:t>
      </w:r>
    </w:p>
    <w:p>
      <w:r>
        <w:rPr>
          <w:b/>
        </w:rPr>
        <w:t>E. 2.1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p. 734).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4A_273/2012 du 30 octobre 2012 consid. 5.1.2, non publié in ATF 138 III 620). Il n'appartient pas au juge, saisi d'une telle requête, d'instruire et de faire un tri entre les faits allégués pour déterminer ce qui doit être admis ou rejeté, les conclusions devant en effet pouvoir être admises dans leur intégralité, sous peine d'irrecevabilité (ATF 141 III 23 consid. 3.3). Si le juge parvient à la conclusion que ces conditions sont remplies, le demandeur obtient gain de cause par une décision ayant l'autorité de la chose jugée et la force exécutoire (ATF 138 III 620 consid. 5.1.1 p. 623 en haut). Si elles ne sont pas remplies et que le demandeur ne peut donc obtenir gain de cause, le juge ne peut que prononcer l'irrecevabilité de la demande. Il est en effet exclu que la procédure</w:t>
      </w:r>
    </w:p>
    <w:p>
      <w:r>
        <w:t>- 5/6 -</w:t>
      </w:r>
    </w:p>
    <w:p>
      <w:r>
        <w:t>C/10511/2019 puisse aboutir au rejet de la prétention du demandeur avec autorité de la chose jugée (ATF 140 III 315 consid. 5).</w:t>
      </w:r>
    </w:p>
    <w:p>
      <w:r>
        <w:rPr>
          <w:b/>
        </w:rPr>
        <w:t>E. 2.2</w:t>
      </w:r>
    </w:p>
    <w:p>
      <w:r>
        <w:t>En l'occurrence, les intimés ont soumis au Tribunal une requête, qui comportait des conclusions en paiement, dont les fondements ont été expressément indiqués, soit : 74'750 fr. au titre de loyers impayés de septembre 2018 à janvier 2019, 44'850 fr. au titre d'indemnités pour occupation illicite de février à avril 2019, 9'127 fr. 15 au titre de frais de chauffage de septembre 2018 à avril 2019, 500 fr. au titre de frais de rappel et 26 fr. 60 au titre de frais de poursuite, avec suite d'intérêts moratoires dès les 15 novembre 2018, 15 mars 2019, 1er janvier 2019, 12 octobre 2018 et 1er mars 2019 respectivement. A l'audience du Tribunal, les appelants ont conclu à l'irrecevabilité de toutes ces conclusions en paiement de la requête, y compris en tant qu'elles ne dépassaient pas le montant de 14'454 fr. 20 résultant de pièces postérieures au dépôt de la requête, sur lesquelles s'appuyaient les appelants pour réduire leurs prétentions correspondant dès lors à des "arriérés de loyer au 30 avril 2019". A teneur desdites pièces, un accord a été passé entre les appelants, les intimés et une société tierce, par lequel "les parties" ont arrêté un montant d'"arriérés de loyer" reconnu par les intimés comme solde de tout compte. Cette formulation peu précise ne permet pas de tenir pour établi que les appelants seraient débiteurs solidaires envers les intimés pour des créances dérivant des baux d'habitation qu'ils avaient conclus; elle ne correspond en outre à aucun des chefs de conclusions pécuniaires, caractérisés, de la requête des intimés. Au vu de ces circonstances, le Tribunal n'était pas en mesure d'admettre dans leur intégralité les conclusions soumises initialement par les intimés, ni même à concurrence d'un montant réduit, ce qui emportait l'irrecevabilité de la requête. Le jugement attaqué sera dès lors annulé, et il sera statué à nouveau dans le sens que la requête sera déclarée irrecevable.</w:t>
      </w:r>
    </w:p>
    <w:p>
      <w:r>
        <w:rPr>
          <w:b/>
        </w:rPr>
        <w:t>E. 3</w:t>
      </w:r>
    </w:p>
    <w:p>
      <w:r>
        <w:t>A teneur de l'art. 22 al. 1 LaCC, il n'est pas prélevé de frais dans les causes soumises à la juridiction des baux et loyers. * * * * *</w:t>
      </w:r>
    </w:p>
    <w:p>
      <w:r>
        <w:t>- 6/6 -</w:t>
      </w:r>
    </w:p>
    <w:p>
      <w:r>
        <w:t>C/10511/2019 PAR CES MOTIFS, La Chambre des baux et loyers : A la forme : Déclare recevable l'appel interjeté le 8 juillet 2019 par A______ et B______ contre le jugement JTBL/642/2019 rendu le 17 juin 2019 par le Tribunal des baux et loyers dans la cause C/10511/2019-7-SE. Au fond : Annule ce jugement et, statuant à nouveau : Déclare irrecevable la requête en protection du cas clair déposée le 13 mai 2019 par D______ et C______ contre A______ et B______. Dit que la procédure est gratuite. Déboute les parties de toutes autres conclusions d'appel. Siégeant : Monsieur Ivo BUETTI, président; Madame Sylvie DROIN, Madame Pauline ERARD, juges; Monsieur Nicolas DAUDIN, Madame Zoé SEILER,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