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ACJC/1355/2021 vom 12. Oktober 2021</w:t>
      </w:r>
    </w:p>
    <w:p>
      <w:r>
        <w:t>GE Cour de justice, 2021-10-12, FR</w:t>
      </w:r>
    </w:p>
    <w:p>
      <w:r>
        <w:rPr>
          <w:b/>
        </w:rPr>
        <w:t xml:space="preserve">Quelle: </w:t>
      </w:r>
      <w:r>
        <w:t>https://mcp.opencaselaw.ch/entscheid/ge_gerichte_ACJC_1355_2021</w:t>
      </w:r>
    </w:p>
    <w:p>
      <w:r>
        <w:t>FR: GE_GERICHTE ACJC/1355/2021 du 12 octobre 2021</w:t>
      </w:r>
    </w:p>
    <w:p>
      <w:r>
        <w:t>IT: GE_GERICHTE ACJC/1355/2021 del 12 ottobre 2021</w:t>
      </w:r>
    </w:p>
    <w:p>
      <w:pPr>
        <w:pStyle w:val="Heading2"/>
      </w:pPr>
      <w:r>
        <w:t>Erwägungen</w:t>
      </w:r>
    </w:p>
    <w:p>
      <w:r>
        <w:rPr>
          <w:b/>
        </w:rPr>
        <w:t>E. 1.1</w:t>
      </w:r>
    </w:p>
    <w:p>
      <w:r>
        <w:t>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à l'entretien de l'époux qui, capitalisée selon l'art. 92 al. 2 CPC, conduit à une valeur litigieuse supérieure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rPr>
          <w:b/>
        </w:rPr>
        <w:t>E. 2</w:t>
      </w:r>
    </w:p>
    <w:p>
      <w:r>
        <w:t>La Cour revoit la cause avec un plein pouvoir d'examen en fait et en droit (art. 310 CPC).</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w:t>
      </w:r>
    </w:p>
    <w:p>
      <w:r>
        <w:t>La maxime de disposition est applicable s'agissant de la contribution d'entretien due à l'un des époux (ATF 129 III 417 précité; arrêts du Tribunal fédéral 5A_333/2019 du 6 juillet 2020 consid. 4.1; 5A_843/2017 du 25 octobre 2017 consid. 2), en sorte que l'interdiction de la reformatio in pejus s'applique; il en résulte que la contribution allouée à l'un des conjoints pour une période déterminée ne peut être modifiée, en instance de recours, au détriment de l'autre conjoint, qui a seul recouru sur ce point (ATF 129 III 417 consid. 2.1.1; arrêt du Tribunal fédéral 5A_333/2019 précité).</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Compte tenu de ce qui précède, les allégations nouvelles articulées par l'appelante pour la première fois en appel qui se rapportent à des faits antérieurs à la présente procédure, et qui ne reposent au demeurant sur aucune pièce nouvelle, sont irrecevables, notamment celle selon laquelle l'intimé n'aurait pas eu la volonté de créer une réelle communauté avec elle.</w:t>
      </w:r>
    </w:p>
    <w:p>
      <w:r>
        <w:t>- 5/11 -</w:t>
      </w:r>
    </w:p>
    <w:p>
      <w:r>
        <w:t>C/1486/2021</w:t>
      </w:r>
    </w:p>
    <w:p>
      <w:r>
        <w:rPr>
          <w:b/>
        </w:rPr>
        <w:t>E. 4</w:t>
      </w:r>
    </w:p>
    <w:p>
      <w:r>
        <w:t>L'appelante reproche au Tribunal ne de pas avoir fait application du principe du clean break compte tenu de la brièveté de l'union conjugale, vu l'indépendance de fait des époux, l'intimé ne lui ayant jamais demandé de l'aide entre la séparation et l'introduction de la procédure, et toute reprise de la vie conjugale était exclue. Elle fait également grief au premier juge de ne pas avoir considéré que l'intimé était en mesure d'augmenter immédiatement son temps de travail et ainsi d'être financièrement indépendant. Elle estime enfin qu'il a été procédé au partage de l'excédent sans aucune justification. Pour le surplus, les revenus et les charges des parties tels qu'établis par le premier juge ne sont pas critiqués en appel.</w:t>
      </w:r>
    </w:p>
    <w:p>
      <w:r>
        <w:t>4.1.1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t>Selon l'art. 176 al. 1 ch. 1 CC, le juge fixe, sur requête, la contribution d'entretien à verser à un époux si la suspension de la vie commune est fondée.</w:t>
      </w:r>
    </w:p>
    <w:p>
      <w:r>
        <w:t>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w:t>
      </w:r>
    </w:p>
    <w:p>
      <w:r>
        <w:t>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w:t>
      </w:r>
    </w:p>
    <w:p>
      <w:r>
        <w:t>- 6/11 -</w:t>
      </w:r>
    </w:p>
    <w:p>
      <w:r>
        <w:t>C/1486/2021 arrêts du Tribunal fédéral 5A_651/2011 du 26 avril 2012 consid. 6.1.3.2 non publié in ATF 138 III 374; 5A_593/2017 du 24 novembre 2017 consid. 3.2; 5A_954/2017 du 29 janvier 2018 consid. 6.2). Ainsi, l'absence de perspectives de réconciliation ne justifie pas à elle seule la suppression de toute contribution d'entretien. Le principe du clean break ne joue, en tant que tel, pas de rôle dans le cadre des mesures provisionnelles (ATF 137 III 385 consid. 3.1; arrêt du Tribunal fédéral 5A_1043/2017 du 31 mai 2018 consid. 3.1), respectivement des mesures protectrices de l'union conjugale.</w:t>
      </w:r>
    </w:p>
    <w:p>
      <w:r>
        <w:t>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5A_932/2015 du 10 mai 2016 consid. 4.3.2; 5A_372/2015 du 29 septembre 2015 consid. 3.1).</w:t>
      </w:r>
    </w:p>
    <w:p>
      <w:r>
        <w:t>4.1.2 Dans trois arrêts récents destinés à la publication (5A_311/2019 du 11 novembre 2020 = SJ 2021 I 3016; 5A_891/2018 du 2 février 2021 et 5A_800/2019 du 9 février 2021),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(cf. arrêt du Tribunal fédéral 5A_311/2019 précité consid. 7). Appartiennent typiquement au minimum vital du droit de la famille les impôts, les frais de logement correspondant à la situation réelle plutôt qu'au minimum vital du droit des poursuites, ou encore, dans des circonstances favorables, les primes d'assurance-maladie complémentaire (arrêt du Tribunal fédéral 5A_311/2019 précité consid. 7.2 et les références citées). Un éventuel excédent est en règle générale réparti, en l'absence d'enfants (cf. arrêt du Tribunal fédéral 5A_311/2019 du 11 novembre 2020 consid. 7.3), par moitié entre les époux (ATF 121 I 97 consid. 3b; ATF 114 II 26 consid. 7; arrêt du Tribunal fédéral 5A_787/2016 du 12 janvier 2017 consid. 4.2.1), à moins que des circonstances importantes ne justifient de s'écarter de ce principe (ATF 119 II 314 consid. 4b/bb; arrêt du Tribunal fédéral 5A_1029/2015 du 1er juin 2016 consid. 3.3.1.2).</w:t>
      </w:r>
    </w:p>
    <w:p>
      <w:r>
        <w:t>- 7/11 -</w:t>
      </w:r>
    </w:p>
    <w:p>
      <w:r>
        <w:t>C/1486/2021</w:t>
      </w:r>
    </w:p>
    <w:p>
      <w:r>
        <w:t>4.1.3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w:t>
      </w:r>
    </w:p>
    <w:p>
      <w:r>
        <w:t>4.1.4 La situation générale en Suisse après l'apparition du Coronavirus (COVID-19) et les conséquences générales des mesures prises dans ce contexte doivent être considérées comme des faits notoires. Il est vrai que l'environnement économique s'est détérioré après l'apparition du virus, ce qui est généralement un fait connu. Cependant, tous les secteurs de l'économie n'ont pas été touchés par la pandémie dans la même mesure ou de la même manière, de sorte qu'il appartient, conformément aux principes généraux, à la personne concernée de prouver que cette situation exceptionnelle a eu un impact sur sa situation (arrêt du Tribunal fédéral 5A_467/2020 du 7 septembre 2020 consid. 5.3).</w:t>
      </w:r>
    </w:p>
    <w:p>
      <w:r>
        <w:t>4.2.1 En l'espèce, c'est à tort que l'appelante reproche au premier juge de ne pas avoir fait application du principe du clean break en ne tenant notamment pas compte de la courte durée de la vie commune. C'est oublier la jurisprudence rappelée ci-avant selon laquelle il n'appartient pas au juge des mesures protectrices de se prononcer sur l'influence du mariage sur la situation financière des parties. Il revenait uniquement au premier juge d'examiner s'il pouvait être imposé à l'intimé d'augmenter son taux d'activité, ce qu'il a fait. Par ailleurs, il ne peut être dénié à l'intimé un droit à une contribution à son entretien parce qu'il a été en mesure de couvrir temporairement ses besoins grâce à l'aide sociale, puisqu'une telle aide est subsidiaire à l'entretien entre époux (arrêt du Tribunal fédéral 5A_624/2017 du 19 février 2018 consid. 4.4.1 et 4.4.4). On relèvera à cet égard que l'intimé n'a pas demandé que la contribution à son entretien soit versée avec effet rétroactif alors qu'il eût été en droit de le faire. Compte tenu de ce qui précède, c'est à juste titre que le premier juge a retenu que l'intimé était, en principe, en droit de prétendre au versement d'une contribution à son entretien. 4.2.2 Les revenus et les charges des parties telles qu'arrêtés par le premier juge ne sont pas remis en cause en appel. Seul est critiqué le délai accordé à l'intimé pour augmenter son taux d'activité.</w:t>
      </w:r>
    </w:p>
    <w:p>
      <w:r>
        <w:t>- 8/11 -</w:t>
      </w:r>
    </w:p>
    <w:p>
      <w:r>
        <w:t>C/1486/2021 A cet égard le Tribunal a fixé à l'intimé un délai de 8 mois pour augmenter ses revenus "compte tenu de la conjoncture actuelle". A juste titre, l'appelante considère ce délai comme excessif. En effet, il n'est pas demandé à l'intimé de se réinsérer dans le milieu du travail duquel il aurait été coupé, puisque celui-ci a toujours été actif à temps partiel, et l'intimé n'a pas rendu vraisemblable que la situation sanitaire aurait eu pour conséquence de freiner l'engagement de personnel dans le domaine du nettoyage encore au printemps 2021. Dès lors que la procédure a été introduite par l'appelante au mois de janvier 2021, l'intimé savait déjà depuis cette date qu'il lui faudrait augmenter ses revenus. Il ne conteste pas la décision du premier juge en tant qu'elle retient qu'une telle augmentation peut, dans son principe, lui être demandée. Compte tenu de ce qui précède, il pouvait être exigé de l'intimé d'augmenter son temps de travail dès le prononcé du jugement, le 14 juin 2021. Il n'a pas été allégué par l'appelante que l'intimé aurait abandonné un emploi à plein temps pour en prendre un moins bien rémunéré à quelque moment que ce soit, de sorte qu'il n'y a pas lieu de lui imputer un revenu hypothétique avec effet rétroactif. En tout état la contribution d'entretien n'a été fixée que pour une période postérieure au prononcé du jugement de sorte que les revenus de l'appelant avant cette date ne sont pas pertinents. 4.2.3 Les revenus mensuels des parties à prendre en compte s'élèvent à 10'585 fr. (6'385 fr. + 4'200 fr.) pour des charges admissibles de 6'260 fr. (3'350 fr. + 2'910 fr.), ce qui représente un solde disponible de 4'325 fr. (10'585 fr. - 6'260 fr.) qu'il convient de répartir à raison d'une moitié en faveur de chacun des époux. La contribution due à l'entretien de l'intimé à compter du prononcé du jugement, ce dies a quo n'ayant pas été critiqué en appel, sera en conséquence fixée à 872 fr. 50 fr. (2'910 fr. + ½ de 4'325 fr. - 4'200 fr.), arrondi à 900 fr., dès le prononcé du jugement jusqu'au 31 janvier 2022, dès lors que l'intimé n'a pas appelé du jugement sur ce point et qu'il ne peut être statué ultra petita.</w:t>
      </w:r>
    </w:p>
    <w:p>
      <w:r>
        <w:rPr>
          <w:b/>
        </w:rPr>
        <w:t>E. 4.3</w:t>
      </w:r>
    </w:p>
    <w:p>
      <w:r>
        <w:t>Le chiffre 2 du dispositif du jugement querellé sera modifié dans le sens de ce qui précède.</w:t>
      </w:r>
    </w:p>
    <w:p>
      <w:r>
        <w:rPr>
          <w:b/>
        </w:rPr>
        <w:t>E. 5.1</w:t>
      </w:r>
    </w:p>
    <w:p>
      <w:r>
        <w:t>Lorsque l'instance d'appel réforme en tout ou en partie le jugement entrepris, elle se prononce aussi sur les frais de première instance (art. 318 al. 3 CPC).</w:t>
      </w:r>
    </w:p>
    <w:p>
      <w:r>
        <w:t>La modification du jugement entrepris ne commande pas de revoir la décision du Tribunal sur les frais de première instance. Ni la quotité ni la répartition des frais judiciaires et des dépens de première instance n'ont été critiquées en appel et celles-ci ont été arrêtées conformément aux règles légales applicables (art. 95, 96, 104 al. 1, 107 al. 1 let. c CPC; art. 5 et 31 RTFMC).</w:t>
      </w:r>
    </w:p>
    <w:p>
      <w:r>
        <w:t>Les chiffres 4 et 5 du dispositif du jugement seront donc confirmés.</w:t>
      </w:r>
    </w:p>
    <w:p>
      <w:r>
        <w:rPr>
          <w:b/>
        </w:rPr>
        <w:t>E. 5.2</w:t>
      </w:r>
    </w:p>
    <w:p>
      <w:r>
        <w:t>Les frais judiciaires d'appel seront fixés à 1'000 fr. au total, soit 800 fr. pour la présente décision et 200 fr. pour la décision rendue le 21 juillet 2021 sur</w:t>
      </w:r>
    </w:p>
    <w:p>
      <w:r>
        <w:t>- 9/11 -</w:t>
      </w:r>
    </w:p>
    <w:p>
      <w:r>
        <w:t>C/1486/2021 restitution de l'effet suspensif (art. 31 et 37 RTFMC). Ils seront mis à la charge des parties à raison d'une moitié chacune, compte tenu de l'issue et de la nature du litige (art. 106 al. 2 et 107 al. 1 let. c CPC). La part des frais mise à la charge de l'appelante sera compensée avec l'avance de frais versée, acquise à l'Etat de Genève à due concurrence (art. 111 al. 1 CPC). Les Services financiers du Pouvoir judiciaire seront invités à rembourser à l'appelante le solde de l'avance en 300 fr. (800 fr. - 500 fr.). L'intimé plaidant au bénéfice de l'assistance juridique, sa part des frais sera provisoirement supportée par l'Etat de Genève (art. 122 al. 1 let. b, 123 al. 1 CPC et 19 RAJ).</w:t>
      </w:r>
    </w:p>
    <w:p>
      <w:r>
        <w:t>Compte tenu de la nature familiale du litige et du solde disponible des parties, chacune d'elle supportera ses propres dépens d'appel (art. 107 al. 1 let. c CPC). * * * * *</w:t>
      </w:r>
    </w:p>
    <w:p>
      <w:r>
        <w:t>- 10/11 -</w:t>
      </w:r>
    </w:p>
    <w:p>
      <w:r>
        <w:t>C/1486/2021 PAR CES MOTIFS, La Chambre civile : A la forme : Déclare recevable l'appel interjeté le 28 juin 2021 par A______ contre le chiffre 2 du dispositif du jugement JTPI/7741/2021 rendu le 14 juin 2021 par le Tribunal de première instance dans la cause C/1486/2021-19. Au fond : Annule le chiffre 2 du dispositif du jugement entrepris et, statuant à nouveau sur ce point : Condamne A______ à verser à B______, par mois et d'avance, 900 fr. au titre de contribution à son entretien du 14 juin 2021 au 31 janvier 2022. Confirme le jugement querellé pour le surplus. Déboute les parties de toutes autres conclusions. Sur les frais : Arrête les frais judiciaires d'appel à 1'000 fr. et les met à la charge des parties pour moitié chacune. Compense les frais judiciaires de 500 fr. dus par A______ avec l'avance de frais fournie, laquelle demeure acquise à l'Etat de Genève à due concurrence. Invite les Services financiers du Pouvoir judiciaire à restituer 300 fr. à A______. Dit que la somme de 500 fr. due par B______, qui plaide au bénéfice de l'assistance juridique, est provisoirement supportée par l'Etat de Genève, sous réserve d'une décision de l'Assistance juridique. Dit que chaque partie supporte ses propres dépens d'appel. Siégeant : Monsieur Ivo BUETTI, président; Madame Sylvie DROIN, Monsieur Jean REYMOND, juges; Madame Gladys REICHENBACH, greffière. Le président : Ivo BUETTI</w:t>
      </w:r>
    </w:p>
    <w:p>
      <w:r>
        <w:t>La greffière : Gladys REICHENBACH</w:t>
      </w:r>
    </w:p>
    <w:p>
      <w:r>
        <w:t>- 11/11 -</w:t>
      </w:r>
    </w:p>
    <w:p>
      <w:r>
        <w:t>C/1486/2021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