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ACJC/1349/2020 vom 19. Dezember 2019</w:t>
      </w:r>
    </w:p>
    <w:p>
      <w:r>
        <w:t>GE Cour de justice, 2019-12-19, FR</w:t>
      </w:r>
    </w:p>
    <w:p>
      <w:r>
        <w:rPr>
          <w:b/>
        </w:rPr>
        <w:t xml:space="preserve">Quelle: </w:t>
      </w:r>
      <w:r>
        <w:t>https://mcp.opencaselaw.ch/entscheid/ge_gerichte_ACJC_1349_2020</w:t>
      </w:r>
    </w:p>
    <w:p>
      <w:r>
        <w:t>FR: GE_GERICHTE ACJC/1349/2020 du 19 décembre 2019</w:t>
      </w:r>
    </w:p>
    <w:p>
      <w:r>
        <w:t>IT: GE_GERICHTE ACJC/1349/2020 del 19 dicembre 2019</w:t>
      </w:r>
    </w:p>
    <w:p>
      <w:pPr>
        <w:pStyle w:val="Heading2"/>
      </w:pPr>
      <w:r>
        <w:t>Erwägungen</w:t>
      </w:r>
    </w:p>
    <w:p>
      <w:r>
        <w:rPr>
          <w:b/>
        </w:rPr>
        <w:t>E. 1.1</w:t>
      </w:r>
    </w:p>
    <w:p>
      <w:r>
        <w:t>Le jugement attaqué constitue une décision finale de première instance (art. 308 al. 1 let. a CPC) susceptible d'un appel dès lors que la valeur litigieuse au dernier état des conclusions de première instance est supérieure à 10'000 fr. (art. 308 al. 2 CPC).</w:t>
      </w:r>
    </w:p>
    <w:p>
      <w:r>
        <w:rPr>
          <w:b/>
        </w:rPr>
        <w:t>E. 1.2</w:t>
      </w:r>
    </w:p>
    <w:p>
      <w:r>
        <w:t>A la lecture de l'appel, l'on comprend que les appelants font grief au Tribunal de ne pas avoir admis l'audition de certains témoins qui leur auraient permis d'établir que les conditions pour invoquer la réticence n'étaient pas remplies, d'avoir mal apprécié le témoignage de M______, et d'avoir condamné de manière injustifiée l'appelant n. 2 à une partie des frais et des dépens. L'appel contient en conséquence une motivation suffisante. Interjeté en temps utile et selon la forme prescrite par la loi (art. 142 al. 3, 145 al. 1 let. c, 130, 131, 311 al. 1 et 2 CPC) par devant l'autorité compétente (art. 120 al. 1 LOJ), il est donc recevable.</w:t>
      </w:r>
    </w:p>
    <w:p>
      <w:r>
        <w:rPr>
          <w:b/>
        </w:rPr>
        <w:t>E. 1.3</w:t>
      </w:r>
    </w:p>
    <w:p>
      <w:r>
        <w:t>La Cour revoit la cause avec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Les appelants reprochent au Tribunal d'avoir considéré, dans son ordonnance du 29 janvier 2019, que la liste de témoins produite par eux le 14 janvier 2019 était irrecevable, car invoquée tardivement. Ils se prévalent d'une violation des règles de procédure et notamment de leur droit à la preuve, les témoignages requis devant tous porter sur des faits pertinents et contestés.</w:t>
      </w:r>
    </w:p>
    <w:p>
      <w:r>
        <w:rPr>
          <w:b/>
        </w:rPr>
        <w:t>E. 2.1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w:t>
      </w:r>
    </w:p>
    <w:p>
      <w:r>
        <w:t>- 7/13 -</w:t>
      </w:r>
    </w:p>
    <w:p>
      <w:r>
        <w:t>C/25162/2017 (ATF 123 III 60 consid. 3a; arrêt du Tribunal fédéral 4A_11/2018 du 8 octobre 2018 consid. 5.1). L'art. 152 CPC prévoit que toute partie a droit à ce que le tribunal administre les moyens de preuve adéquats proposés régulièrement et en temps utile. Les moyens de preuve proposés doivent figurer dans la demande en regard de chaque allégué (art. 221 al. 1 let. e CPC). Le demandeur ne saurait proposer de manière générale, à l'appui d'une allégation de fait, la preuve "par témoins", mais il doit indiquer quel témoin est proposé (ATF 144 III 54 consid. 4.1.3.1). S’il y a eu un second échange d’écritures ordonné selon l’art. 225 CPC, les parties ne peuvent plus ensuite introduire sans restriction des faits et moyens de preuve nouveaux, même si le juge convoque après ledit second échange d’écritures des débats d’instruction selon l’art. 226 CPC. Les faits et moyens de preuve nouveaux ne peuvent pas être introduits plus tard dans le procès, sinon aux conditions de l'art. 229 al. 1 CPC (introduction de novas proprement dits ou de novas improprement dits) (ATF 140 III 312 consid. 6.3.2; JdT 2016 II 257). Dans la mesure où l’art. 221 al. 1 let. e implique l’obligation d’indiquer déjà les noms et adresses des témoins dont l’audition est souhaitée, les parties devraient les préciser, avec référence aux allégués concernés, au plus tard dans leurs réplique et duplique (TAPPY, Commentaire romand CPC, 2ème éd., 2019, n. 15 ad art. 225 CPC).</w:t>
      </w:r>
    </w:p>
    <w:p>
      <w:r>
        <w:rPr>
          <w:b/>
        </w:rPr>
        <w:t>E. 2.2</w:t>
      </w:r>
    </w:p>
    <w:p>
      <w:r>
        <w:t>En l'espèce, tant dans leur demande en paiement que dans leur réplique, les appelants ont indiqué, à l'appui de plusieurs allégués, que la preuve offerte est celle par "témoin", sans jamais toutefois préciser le nom des personnes à auditionner.</w:t>
      </w:r>
    </w:p>
    <w:p>
      <w:r>
        <w:t>La phase d'allégation étant close après le deuxième échange d'écritures, les appelants ne pouvaient pas introduire des offres de preuve nouvelles - qui ne remplissaient manifestement pas les conditions de l'art. 229 al. 1 CPC - lors de l'audience du 14 janvier 2019. C'est donc à juste titre que le Tribunal a écarté les auditions litigieuses.</w:t>
      </w:r>
    </w:p>
    <w:p>
      <w:r>
        <w:rPr>
          <w:b/>
        </w:rPr>
        <w:t>E. 3</w:t>
      </w:r>
    </w:p>
    <w:p>
      <w:r>
        <w:t>Les appelants font grief au Tribunal de ne pas les avoir interpellés à ce sujet.</w:t>
      </w:r>
    </w:p>
    <w:p>
      <w:r>
        <w:rPr>
          <w:b/>
        </w:rPr>
        <w:t>E. 3.1</w:t>
      </w:r>
    </w:p>
    <w:p>
      <w:r>
        <w:t>Aux termes de l'art. 56 CPC, le tribunal interpelle les parties lorsque leurs actes ou déclarations sont peu clairs, contradictoires, imprécis ou manifestement incomplets, et leur donne l'occasion de les clarifier et de les compléter.</w:t>
      </w:r>
    </w:p>
    <w:p>
      <w:r>
        <w:t>- 8/13 -</w:t>
      </w:r>
    </w:p>
    <w:p>
      <w:r>
        <w:t>C/25162/2017</w:t>
      </w:r>
    </w:p>
    <w:p>
      <w:r>
        <w:t>Une offre de preuve est défectueuse au sens de l'art. 56 CPC si, par exemple, la partie oublie de donner l'adresse d'un témoin (arrêt du Tribunal fédéral 4A_444/2013 du 5 février 2014 consid. 6.3.3). La portée de ce devoir d’interpellation diffère toutefois selon la maxime applicable à la procédure. Dans les procédures où la maxime des débats prévaut, il n’intervient qu’en cas de manquement manifeste des parties (FF 2006 6890).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(arrêt du Tribunal fédéral 4D_57/2013 du 2 décembre 2013 consid. 3.2). Le devoir d'interpellation n'a pas pour but de remédier aux négligences procédurales des parties, en particulier quant à l'administration des preuves (arrêts du Tribunal fédéral 5A_344/2015 du 29 février 2016 consid. 7.5; 5A_818/2014 du 29 juillet 2015 consid. 4.2 et les références citées). S'agissant d'un avocat, le juge peut présupposer qu'il a les connaissances nécessaires pour conduire le procès et faire des allégations et offres de preuve complètes (ATF 113 Ia 84 consid. 3d; arrêts du Tribunal fédéral 4D_57/2013 du 2 décembre 2013 consid. 3.2; 4C.143/2002 du 31 mars 2003 consid. 3).</w:t>
      </w:r>
    </w:p>
    <w:p>
      <w:r>
        <w:rPr>
          <w:b/>
        </w:rPr>
        <w:t>E. 3.2</w:t>
      </w:r>
    </w:p>
    <w:p>
      <w:r>
        <w:t>En l'espèce, le Tribunal ne pouvait plus interpeller les appelants après le second échange d'écritures, dès lors que celui-ci clôturait la phase où de nouveaux moyens de preuve auraient pu être introduits (cf. à ce sujet TAPPY, in JdT 2016 II 257, p. 262). Un éventuel devoir d'interpellation du Tribunal avant le second échange d'écritures doit pour le surplus être exclu, dans la mesure où le premier juge pouvait présupposer que les appelants, assistés d'un avocat expérimenté, auraient précisé, dans le cadre de leur réplique, l'identité des témoins qu'ils souhaitaient encore faire auditionner à la suite de la réponse de leur partie adverse.</w:t>
      </w:r>
    </w:p>
    <w:p>
      <w:r>
        <w:t>Le cas diffère de celui où une partie oublie d'indiquer l'adresse d'un témoin, cette dernière hypothèse relevant d'une inadvertance manifeste.</w:t>
      </w:r>
    </w:p>
    <w:p>
      <w:r>
        <w:rPr>
          <w:b/>
        </w:rPr>
        <w:t>E. 3.3</w:t>
      </w:r>
    </w:p>
    <w:p>
      <w:r>
        <w:t>Enfin, d'après les explications des appelants, les témoins dont l'audition est requise étaient soit des personnes ayant vécu le même type de sinistre (I______ et J______), soit des anciens employés de l'intimée qui auraient pu confirmer une pratique de H______ (les témoins K______ et L______). Si les déclarations de ces personnes pourraient, dans l'hypothèse la plus favorable aux appelants, constituer des indices en faveur d'une prétendue pratique de H______ à inciter les clients de l'intimée à divulguer des informations incomplètes, voire fausses, pour</w:t>
      </w:r>
    </w:p>
    <w:p>
      <w:r>
        <w:t>- 9/13 -</w:t>
      </w:r>
    </w:p>
    <w:p>
      <w:r>
        <w:t>C/25162/2017 bénéficier d'une prime plus avantageuse, elles ne seraient en tout état de cause pas suffisantes pour établir que ce dernier aurait agi de cette manière avec les appelants. En effet, d'après les explications contenues dans l'appel, aucune de ces personnes n'a assisté à la conclusion du contrat d'assurance litigieux, ni a eu directement connaissance des faits de la cause. Aussi, il se justifierait en toute hypothèse de ne pas procéder à leur audition par une appréciation anticipée des preuves (ATF 138 III 374 consid. 4.3.2; arrêts du Tribunal fédéral 4A_419/2017 du 10 novembre 2017 consid. 4.1.2; 5A_971/2015 du 30 juin 2016 consid. 7.1).</w:t>
      </w:r>
    </w:p>
    <w:p>
      <w:r>
        <w:rPr>
          <w:b/>
        </w:rPr>
        <w:t>E. 3.4</w:t>
      </w:r>
    </w:p>
    <w:p>
      <w:r>
        <w:t>C'est donc à bon droit que le Tribunal n'a pas donné suite aux actes d'instruction précités.</w:t>
      </w:r>
    </w:p>
    <w:p>
      <w:r>
        <w:rPr>
          <w:b/>
        </w:rPr>
        <w:t>E. 4</w:t>
      </w:r>
    </w:p>
    <w:p>
      <w:r>
        <w:t>Les appelants font grief au Tribunal d'avoir mal apprécié les preuves du dossier, et plus particulièrement le témoignage de M______.</w:t>
      </w:r>
    </w:p>
    <w:p>
      <w:r>
        <w:rPr>
          <w:b/>
        </w:rPr>
        <w:t>E. 4.1</w:t>
      </w:r>
    </w:p>
    <w:p>
      <w:r>
        <w:t>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t>En vertu de l'art. 6 al. 1 et 3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Si le contrat prend fin par résiliation en vertu de l’alinéa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w:t>
      </w:r>
    </w:p>
    <w:p>
      <w:r>
        <w:rPr>
          <w:b/>
        </w:rPr>
        <w:t>E. 4.2</w:t>
      </w:r>
    </w:p>
    <w:p>
      <w:r>
        <w:t>En l'espèce, les appelants soutiennent qu'il ressort du témoignage de M______ que la proposition d'assurance litigieuse avait été remplie par H______, qui avait oublié de cocher la case concernant les antécédents de l'appelant n. 1. L'agent de l'intimée aurait eu connaissance de ces faits, mais il n'aurait pas rempli la proposition d'assurance en conséquence. L'intimée devait répondre des manquements de son auxiliaire et ne pouvait dès lors invoquer la réticence. Certes, M______ a affirmé avoir entendu un conseiller de l'intimée admettre qu'il avait fait une erreur, qui aurait pu lui faire perdre sa place de travail. Toutefois, ce</w:t>
      </w:r>
    </w:p>
    <w:p>
      <w:r>
        <w:t>- 10/13 -</w:t>
      </w:r>
    </w:p>
    <w:p>
      <w:r>
        <w:t>C/25162/2017 témoin n'a pas précisé qui lui aurait par la suite expliqué que l'erreur dont il était question concernait une omission de cocher une case sur la proposition d'assurance. Aussi, ce témoignage, vague et imprécis, ne permet pas de retenir une quelconque implication d'un auxiliaire de l'intimée dans les fausses informations contenues dans la proposition d'assurance du 23 mai 2013. De plus, les déclarations de ce témoin doivent être appréciées avec circonspection, dès lors que les circonstances de l'épisode dont elles témoignent ne correspondent pas à celles alléguées par les appelants. Ces derniers ont en effet affirmé que M______ avait eu connaissance des faits dont il témoignait après avoir assisté à une conversation téléphonique entre l'appelant n. 1 et son agent, alors que le témoin soutient avoir rencontré personnellement l'agent lors d'un déjeuner avec l'appelant n. 1. Enfin, ce témoignage ne remet nullement en cause le fait que l'appelant n. 1 s'est déclaré comme étant conducteur principal du véhicule pour économiser sur les primes d'assurance, commettant ainsi une réticence. Les appelants ne soutiennent pas que l'intimée n'était pas légitimée à refuser d'accorder ses prestations en se fondant sur ce seul motif. Leurs développements se limitent d'ailleurs à tenter de démontrer que l'agent de l'intimée aurait eu connaissance de l'inexactitude des éléments mentionnés dans la proposition d'assurance, ce qui priverait l'intimée de son droit d'invoquer une réticence. Ils ne contiennent aucun autre grief s'agissant des conditions d'application de l'art. 6 LCA. Partant, l'appel est infondé sur ces points.</w:t>
      </w:r>
    </w:p>
    <w:p>
      <w:r>
        <w:rPr>
          <w:b/>
        </w:rPr>
        <w:t>E. 5.1</w:t>
      </w:r>
    </w:p>
    <w:p>
      <w:r>
        <w:t>L'appelant n. 2 ne conteste pas le jugement en tant qu'il retient que ses éventuelles prétentions à l'encontre de l'intimée sont prescrites. Par conséquent, ses conclusions en paiement, formées en appel, auraient en tout état de cause dues être écartées.</w:t>
      </w:r>
    </w:p>
    <w:p>
      <w:r>
        <w:rPr>
          <w:b/>
        </w:rPr>
        <w:t>E. 5.2</w:t>
      </w:r>
    </w:p>
    <w:p>
      <w:r>
        <w:t>L'appelant n. 2 se plaint en revanche de ce que la procédure n'a pas été limitée à la question de sa légitimation active, ce qui lui aurait épargné de devoir mener le procès jusqu'à son terme Les frais et dépens de première instance mis à sa charge auraient ainsi été réduits.</w:t>
      </w:r>
    </w:p>
    <w:p>
      <w:r>
        <w:rPr>
          <w:b/>
        </w:rPr>
        <w:t>E. 5.3.1</w:t>
      </w:r>
    </w:p>
    <w:p>
      <w:r>
        <w:t>Selon l'art. 125 let. a CPC, le tribunal, aux fins de simplification du procès, peut exceptionnellement limiter la procédure à certaines questions ou certaines conclusions. En principe, le tribunal doit toutefois résoudre toutes les questions juridiques dans une seule décision et il ne doit pas statuer par étapes sur des points isolés, qui cas échéant entreraient séparément en force (arrêt du Tribunal fédéral</w:t>
      </w:r>
    </w:p>
    <w:p>
      <w:r>
        <w:t>- 11/13 -</w:t>
      </w:r>
    </w:p>
    <w:p>
      <w:r>
        <w:t>C/25162/2017 5A_784/2016 du 20 décembre 2016 consid. 2.4). Le tribunal n'est pas tenu de trancher séparément certaines conclusions ou questions, même de recevabilité, et dispose d'un large pouvoir d'appréciation quant à l'opportunité d'une telle option (TAPPY, Commentaire romand CPC, 2ème éd., 2019, n. 31 ad art. 222 CPC).</w:t>
      </w:r>
    </w:p>
    <w:p>
      <w:r>
        <w:rPr>
          <w:b/>
        </w:rPr>
        <w:t>E. 5.3.2</w:t>
      </w:r>
    </w:p>
    <w:p>
      <w:r>
        <w:t>Il s'ensuit que le Tribunal n'était pas tenu de limiter la procédure à la question de la légitimation active de l'appelant n. 2, étant au demeurant relevé que cette problématique a été soulevée par sa partie adverse. Il eût appartenu à l'appelant n. 2 de retirer sa demande s'il s'était rendu compte, en cours de procédure, de l'absence de légitimation active. A défaut, il se justifie de lui faire supporter, solidairement avec l'appelant n. 1, l'entier des frais judiciaires et dépens de première instance, dont les montants fixés par le Tribunal ne sont au demeurant pas contestés (art. 106 al. 3 CPC).</w:t>
      </w:r>
    </w:p>
    <w:p>
      <w:r>
        <w:t>Par conséquent, ce grief doit également être écarté.</w:t>
      </w:r>
    </w:p>
    <w:p>
      <w:r>
        <w:rPr>
          <w:b/>
        </w:rPr>
        <w:t>E. 6</w:t>
      </w:r>
    </w:p>
    <w:p>
      <w:r>
        <w:t>Le jugement sera ainsi confirmé en tous points.</w:t>
      </w:r>
    </w:p>
    <w:p>
      <w:r>
        <w:rPr>
          <w:b/>
        </w:rPr>
        <w:t>E. 7</w:t>
      </w:r>
    </w:p>
    <w:p>
      <w:r>
        <w:t>Les frais judiciaires d'appel seront arrêtés à 4'000 fr. (art. 13, 17 et 35 RTFMC; art. 19 al. 5 LaCC), mis à la charge des appelants, pris solidairement, qui succombent (art. 106 al. 1 et 3 CPC) et compensés avec l'avance de frais versée, acquise à l'Etat de Genève à due concurrence (art. 111 al. 1 CPC). Les Services financiers du Pouvoir judiciaire seront invités à rembourser aux appelants le solde de l'avance en 2'000 fr. Les dépens d'appel seront arrêtés à 3'000 fr., débours et TVA inclus (art. 85 al. 1 et 90 RTFMC; art. 25 et 26 LaCC) et mis à la charge des appelants, pris solidairement, qui succombent (art. 106 al. 1 et 3 CPC). * * * * *</w:t>
      </w:r>
    </w:p>
    <w:p>
      <w:r>
        <w:t>- 12/13 -</w:t>
      </w:r>
    </w:p>
    <w:p>
      <w:r>
        <w:t>C/25162/2017 PAR CES MOTIFS, La Chambre civile : A la forme : Déclare recevable l'appel interjeté le 3 février 2020 par A______ et B______ contre le jugement JTPI/18294/2019 rendu le 19 décembre 2019 par le Tribunal de première instance dans la cause C/25162/2017-20. Au fond : Confirme le jugement entrepris. Déboute les parties de toutes autres conclusions. Sur les frais : Arrête les frais judiciaires d'appel à 4'000 fr., met ce montant à la charge de A______ et B______, pris solidairement, et le compense à due concurrence avec l'avance de frais, acquise à l'Etat de Genève à due concurrence. Invite les Services financiers du Pouvoir judiciaire à restituer à A______ et B______, pris solidairement, le solde en 2'000 fr. de l'avance versée. Condamne A______ et B______, pris solidairement, à verser 3'000 fr. à C______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- 13/13 -</w:t>
      </w:r>
    </w:p>
    <w:p>
      <w:r>
        <w:t>C/25162/2017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