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ACJC/1349/2016 vom 13. Oktober 2016</w:t>
      </w:r>
    </w:p>
    <w:p>
      <w:r>
        <w:t>GE Cour de justice, 2016-10-13, FR</w:t>
      </w:r>
    </w:p>
    <w:p>
      <w:r>
        <w:rPr>
          <w:b/>
        </w:rPr>
        <w:t xml:space="preserve">Quelle: </w:t>
      </w:r>
      <w:r>
        <w:t>https://mcp.opencaselaw.ch/entscheid/ge_gerichte_ACJC_1349_2016</w:t>
      </w:r>
    </w:p>
    <w:p>
      <w:r>
        <w:t>FR: GE_GERICHTE ACJC/1349/2016 du 13 octobre 2016</w:t>
      </w:r>
    </w:p>
    <w:p>
      <w:r>
        <w:t>IT: GE_GERICHTE ACJC/1349/2016 del 13 ottobre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 Le recours a été interjeté dans le délai et selon la forme prévus par la loi et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les pièces nouvelles produites par la recourante sont irrecevables, ainsi que les allégués de fait s'y rapportant. Fait exception l'extrait du Registre du commerce de C.______ SA, en liquidation, qui atteste de faits notoires (cf. art. 151 CPC).</w:t>
      </w:r>
    </w:p>
    <w:p>
      <w:r>
        <w:rPr>
          <w:b/>
        </w:rPr>
        <w:t>E. 1.4</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La recourante conteste au jugement produit par l'intimée a l'appui de sa requête la qualité de titre de mainlevée définitive.</w:t>
      </w:r>
    </w:p>
    <w:p>
      <w:r>
        <w:rPr>
          <w:b/>
        </w:rPr>
        <w:t>E. 2.1</w:t>
      </w:r>
    </w:p>
    <w:p>
      <w:r>
        <w:t>Dans la poursuite en réalisation du gage, un exemplaire du commandement de payer est notifié au tiers qui a constitué le gage ou en est devenu propriétaire</w:t>
      </w:r>
    </w:p>
    <w:p>
      <w:r>
        <w:t>- 5/7 -</w:t>
      </w:r>
    </w:p>
    <w:p>
      <w:r>
        <w:t>C/6282/2016 (art. 153 al. 2 let. a LP), ainsi qu'au conjoint du débiteur ou du tiers lorsque l'immeuble grevé est le logement de la famille au sens de l'art. 169 CC (art. 153 al. 2 let. b CPC). Le tiers et l'époux peuvent former opposition au même titre que le débiteur (art. 153 al. 2 dernière phrase LP).</w:t>
      </w:r>
    </w:p>
    <w:p>
      <w:r>
        <w:rPr>
          <w:b/>
        </w:rPr>
        <w:t>E. 2.2</w:t>
      </w:r>
    </w:p>
    <w:p>
      <w:r>
        <w:t>Pour valoir titre de mainlevée au sens de l'art. 80 LP, le jugement doit être exécutoire, émaner d'un tribunal et condamner le poursuivi à payer une somme d'argent. Il faut que la condamnation soit chiffrée ou tout au moins facilement déterminable quant à son montant (SCHMIDT, Commentaire romand, Poursuite et faillite, 2005, n. 6 ad art. 80 LP). L'art. 839 al. 3 CC prévoit que l'inscription d'une hypothèque légale des artisans et entrepreneurs n'a lieu que si le montant du gage est établi par la reconnaissance du propriétaire ou par le juge. Il n'est pas nécessaire que le propriétaire reconnaisse la dette elle-même (Schuldsumme). Il suffit qu'il reconnaisse le montant garanti par le gage (Pfandsumme). Une véritable reconnaissance de dette n'est d'ailleurs pas possible si le propriétaire n'est pas débiteur du montant dû à l'entrepreneur (notamment en cas d'hypothèque légale du sous-traitant). Naturellement, le propriétaire débiteur peut aussi reconnaître la créance elle-même, et par là le montant de gage à inscrire. Dans ce cas, la reconnaissance de dette permet à l'entrepreneur d'obtenir également la mainlevée provisoire en cas de contestation (art. 82 al. 1 LP) (STEINAUER, Les droits réels, Tome III, 2012, p. 320, N 2892-2892a). Lorsque le propriétaire ne reconnaît pas le montant du gage, l'ayant droit peut demander au juge d'établir ce montant. L'action ne tend pas à l'établissement de la créance elle-même (Schuldsumme), mais à celle du montant garanti par l'hypothèque légale (Pfandsumme). Elle peut donc être ouverte contre le propriétaire sans que l'ayant droit agisse simultanément en paiement de la dette (en particulier, si le débiteur n'est pas le propriétaire de l'immeuble grevé) (STEINAUER, op. cit., p. 321, N 2894). 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(ATF 138 III 132 consid. 4.2). 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w:t>
      </w:r>
    </w:p>
    <w:p>
      <w:r>
        <w:t>- 6/7 -</w:t>
      </w:r>
    </w:p>
    <w:p>
      <w:r>
        <w:t>C/6282/2016 (Schuldsumme),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l'art. 80 al. 1 LP.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le jugement condamnant le débiteur à payer une somme déterminée valant titre de mainlevée au sens de l'art. 80 al. 1 LP (ATF 138 III 132 consid. 4.2.2).</w:t>
      </w:r>
    </w:p>
    <w:p>
      <w:r>
        <w:rPr>
          <w:b/>
        </w:rPr>
        <w:t>E. 2.3</w:t>
      </w:r>
    </w:p>
    <w:p>
      <w:r>
        <w:t>En l'espèce, la recourante - qui, sur la base des indications de la poursuivante, s'est vu notifier un exemplaire du commandement de payer en qualité d'épouse du propriétaire de l'immeuble grevé, lequel constituerait selon l'intimée un logement de la famille - pouvait former opposition au même titre que le débiteur. L'intimée a produit le jugement ordonnant l'inscription définitive du droit de gage sur l'immeuble grevé, de même que l'extrait du Registre foncier démontrant l'existence de l'inscription du droit de gage. Cependant, ledit jugement ne fait que confirmer la somme garantie par gage et ne comprend pas une condamnation portant sur le montant de la créance alléguée. Dans la mesure où elle n'était pas au bénéfice d'un titre de mainlevée définitive, l'intimée aurait dû être déboutée de ses conclusions. Le recours sera admis sur ce point et le jugement attaqué sera modifié en conséquence.</w:t>
      </w:r>
    </w:p>
    <w:p>
      <w:r>
        <w:rPr>
          <w:b/>
        </w:rPr>
        <w:t>E. 3.1</w:t>
      </w:r>
    </w:p>
    <w:p>
      <w:r>
        <w:t>Compte tenu de l'issue du litige, les frais judiciaires de première instance, dont la quotité n'est pas contestée (400 fr.), seront mis à la charge de l'intimée, qui succombe (art. 106 al. 2 CPC), et compensés avec l'avance fournie, laquelle demeure acquis à l'Etat de Genève (art. 111 al. 1 CPC).</w:t>
      </w:r>
    </w:p>
    <w:p>
      <w:r>
        <w:t>En première instance, la recourante n'a pas comparu et n'a pas sollicité des dépens.</w:t>
      </w:r>
    </w:p>
    <w:p>
      <w:r>
        <w:rPr>
          <w:b/>
        </w:rPr>
        <w:t>E. 3.2</w:t>
      </w:r>
    </w:p>
    <w:p>
      <w:r>
        <w:t>L'intimée, qui succombe, sera condamnée aux frais judiciaires du recours, arrêtés à 600 fr. (art. 48 et 61 OELP) et compensés avec l'avance de frais fournie par la recourante, qui reste acquise à l'Etat (art. 111 al. 1 CPC). L'intimée sera, en conséquence, condamnée à verser à la recourante la somme de 600 fr. à titre de remboursement de ces frais (art. 111 al. 2 CPC).</w:t>
      </w:r>
    </w:p>
    <w:p>
      <w:r>
        <w:t>L'intimée sera également condamnée à verser à la recourante 600 fr., débours et TVA compris, à titre de dépens (art. 96 et 106 al. 1 CPC; art. 25 et 26 LaCC; art. 84, 85, 89 et 90 RTFMC).</w:t>
      </w:r>
    </w:p>
    <w:p>
      <w:r>
        <w:t>- 7/7 -</w:t>
      </w:r>
    </w:p>
    <w:p>
      <w:r>
        <w:t>C/6282/2016</w:t>
      </w:r>
    </w:p>
    <w:p>
      <w:r>
        <w:t>PAR CES MOTIFS, La Chambre civile : A la forme : Déclare recevable le recours formé le 22 juillet 2016 par A.______ contre le jugement JTPI/8820/2016 rendu le 4 juillet 2016 par le Tribunal de première instance dans la cause C/6282/2016-21 SML. Au fond : Annule ce jugement et, statuant à nouveau : Déboute B.______ SA des fins de sa requête en mainlevée définitive dirigée contre A.______. Arrête les frais judiciaires de première instance à 400 fr., les met à la charge de B.______ SA et les compense avec l'avance effectuée, laquelle reste acquise à l'Etat de Genève. Déboute les parties de toutes autres conclusions. Sur les frais : Arrête les frais judiciaires du recours à 600 fr., les met à la charge de B.______ SA et les compense avec l'avance effectuée, laquelle demeure acquise à l'Etat de Genève. Condamne B.______ SA à verser à A.______ 600 fr. à titre de frais judiciaires du recours et 600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