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ACJC/1347/2014 vom 13. November 2014</w:t>
      </w:r>
    </w:p>
    <w:p>
      <w:r>
        <w:t>GE Cour de justice, 2014-11-13, FR</w:t>
      </w:r>
    </w:p>
    <w:p>
      <w:r>
        <w:rPr>
          <w:b/>
        </w:rPr>
        <w:t xml:space="preserve">Quelle: </w:t>
      </w:r>
      <w:r>
        <w:t>https://mcp.opencaselaw.ch/entscheid/ge_gerichte_ACJC_1347_2014</w:t>
      </w:r>
    </w:p>
    <w:p>
      <w:r>
        <w:t>FR: GE_GERICHTE ACJC/1347/2014 du 13 novembre 2014</w:t>
      </w:r>
    </w:p>
    <w:p>
      <w:r>
        <w:t>IT: GE_GERICHTE ACJC/1347/2014 del 13 novembre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Les jugements de mesures protectrices étant régis par la procédure sommaire selon l'art. 271 CPC, le délai d'introduction de l'appel est de dix jours (art. 314 al. 1 CPC). En l'espèce, l'appel a été formé en temps utile et selon la forme prescrite par la loi (art. 130 al. 1 et 311 al. 1 CPC), dans une cause de nature pécuniaire portant sur le</w:t>
      </w:r>
    </w:p>
    <w:p>
      <w:r>
        <w:t>- 7/14 -</w:t>
      </w:r>
    </w:p>
    <w:p>
      <w:r>
        <w:t>C/26005/2013 montant de la contribution d'entretien en jeu, qui, capitalisée selon l'art. 92 al. 2 CPC, est supérieure à 10'000 fr. L'appel est donc recevable.</w:t>
      </w:r>
    </w:p>
    <w:p>
      <w:r>
        <w:rPr>
          <w:b/>
        </w:rPr>
        <w:t>E. 1.2</w:t>
      </w:r>
    </w:p>
    <w:p>
      <w:r>
        <w:t>Les parties ont produit des nouvelles pièces en appel.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références citées). En l'espèce, les pièces déposées en appel par les parties auraient pu être produites en première instance, de sorte qu'elles sont irrecevables.</w:t>
      </w:r>
    </w:p>
    <w:p>
      <w:r>
        <w:rPr>
          <w:b/>
        </w:rPr>
        <w:t>E. 1.3</w:t>
      </w:r>
    </w:p>
    <w:p>
      <w:r>
        <w:t>S'agissant d'un appel, la Cour revoit la cause avec un plein pouvoir d'examen (art. 310 CPC).</w:t>
      </w:r>
    </w:p>
    <w:p>
      <w:r>
        <w:rPr>
          <w:b/>
        </w:rPr>
        <w:t>E. 2</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w:t>
      </w:r>
    </w:p>
    <w:p>
      <w:r>
        <w:t>- 8/14 -</w:t>
      </w:r>
    </w:p>
    <w:p>
      <w:r>
        <w:t>C/26005/2013 dans des circonstances exceptionnelles (arrêt du Tribunal fédéral 5A_905/2011 du 28 mars 2012 consid. 2.5).</w:t>
      </w:r>
    </w:p>
    <w:p>
      <w:r>
        <w:rPr>
          <w:b/>
        </w:rPr>
        <w:t>E. 3</w:t>
      </w:r>
    </w:p>
    <w:p>
      <w:r>
        <w:t>L'appelant conteste le montant de la contribution à l'entretien de son épouse fixé par le premier juge et propose de lui verser 3'600 fr. Il fait valoir notamment que le Tribunal a retenu des charges trop élevées en faveur de l'intimée, aurait, en tout état, dû tenir compte des seules charges incompressibles des parties et a omis d'imputer une part du loyer du domicile conjugal à F______. Selon lui, le montant de l'entretien litigieux met à contribution de manière excessive la fortune du couple.</w:t>
      </w:r>
    </w:p>
    <w:p>
      <w:r>
        <w:rPr>
          <w:b/>
        </w:rPr>
        <w:t>E. 3.1</w:t>
      </w:r>
    </w:p>
    <w:p>
      <w:r>
        <w:t>Conformément à l'art. 176 al. 1 ch. 1 CC, le juge fixe la contribution pécuniaire à verser par l'un des époux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w:t>
      </w:r>
    </w:p>
    <w:p>
      <w:r>
        <w:t>- 9/14 -</w:t>
      </w:r>
    </w:p>
    <w:p>
      <w:r>
        <w:t>C/26005/2013 Le minimum vital du débirentier doit en principe être préservé (ATF 135 III 66 consid. 10; arrêt du Tribunal fédéral 5A_587/2013 du 26 novembre 2013 consid. 6.1.1). En tout état, le juge dispose d'un large pouvoir d'appréciation (art. 4 CC).</w:t>
      </w:r>
    </w:p>
    <w:p>
      <w:r>
        <w:rPr>
          <w:b/>
        </w:rPr>
        <w:t>E. 3.2</w:t>
      </w:r>
    </w:p>
    <w:p>
      <w:r>
        <w:t>Les parties ne contestent pas l'application de la méthode dite du "minimum vital". L'appelant soutient en revanche qu'il convient de couvrir le minimum vital strict de son épouse, à savoir ses charges incompressibles, alors que celle-ci prétend à la couverture de son minimum vital élargi vu le train de vie confortable des époux durant la vie commune.</w:t>
      </w:r>
    </w:p>
    <w:p>
      <w:r>
        <w:t>En l'espèce, il sera retenu, au vu des revenus et des charges des parties, lesquels partaient régulièrement en vacances durant cinq semaines par année durant la vie commune et prenaient à leur charge le déficit budgétaire de leur petit-fils, que les époux ont, jusqu'à présent, vécu selon un train de vie confortable dépassant leurs revenus et ayant nécessité, dans une certaine mesure, la mise à contribution de la fortune acquise par l'appelant au cours de sa vie professionnelle. Partant, il se justifie, autant que faire se peut, de maintenir leur niveau de vie, raison pour laquelle seront retenues des charges élargies à l'égard des deux époux.</w:t>
      </w:r>
    </w:p>
    <w:p>
      <w:r>
        <w:rPr>
          <w:b/>
        </w:rPr>
        <w:t>E. 3.3</w:t>
      </w:r>
    </w:p>
    <w:p>
      <w:r>
        <w:t>L'appelant perçoit des revenus à hauteur de 9'653 fr., comprenant sa rente AVS (1'475 fr.), sa rente LPP (6'838 fr.) et les intérêts sur sa fortune (1'340 fr.). Il dispose en outre d'une fortune nette de l'ordre de 1'300'000 fr.</w:t>
      </w:r>
    </w:p>
    <w:p>
      <w:r>
        <w:t>Ses charges mensuelles élargies s'élèvent à 5'536 fr. 25, comprenant le loyer pour un appartement de trois pièces et un place de parc (estimés à 2'000 fr. et 150 fr., l'appelant n'ayant pas rendu vraisemblable sa nécessité à vivre seul dans un appartement de quatre pièces), les primes d'assurance-maladie LAMal et LCA (357 fr. 55 et 335 fr. 20), les frais pour un véhicule et pour une femme de ménage (respectivement 281 fr. et 212 fr. 50, à savoir les mêmes montants que pour son épouse par égalité de traitement), les impôts (environ 1'000 fr. non contestés) et l'entretien de base OP (1'200 fr.).</w:t>
      </w:r>
    </w:p>
    <w:p>
      <w:r>
        <w:t>Il n'est tenu compte ni de l'assurance-ménage, ni des frais de téléphone fixe et mobile, ces postes étant compris dans l'entretien de base OP selon les normes d'insaisissabilité (art. 1 - E 3 60.04).</w:t>
      </w:r>
    </w:p>
    <w:p>
      <w:r>
        <w:t>Il se justifie en revanche de prendre en considération, dans les charges ci-dessus, la prime d'assurance-maladie LCA, ainsi que les frais pour un véhicule et pour une femme de ménage, compte tenu tant du train de vie mené jusqu'alors par les époux que de leur âge.</w:t>
      </w:r>
    </w:p>
    <w:p>
      <w:r>
        <w:t>L'appelant dispose ainsi d'un montant de 4'116 fr. 75 par mois.</w:t>
      </w:r>
    </w:p>
    <w:p>
      <w:r>
        <w:t>- 10/14 -</w:t>
      </w:r>
    </w:p>
    <w:p>
      <w:r>
        <w:t>C/26005/2013</w:t>
      </w:r>
    </w:p>
    <w:p>
      <w:r>
        <w:rPr>
          <w:b/>
        </w:rPr>
        <w:t>E. 3.4</w:t>
      </w:r>
    </w:p>
    <w:p>
      <w:r>
        <w:t>L'intimée perçoit une rente AVS de 999 fr. par mois, à laquelle s'ajoutent les intérêts du compte joint partagé (1'681 fr. par année), ce qui représente des revenus mensuels de 1'139 fr. Il sera retenu à son égard des charges mensuelles élargies d'un montant total de 5'260 fr. 45, comprenant le loyer de l'appartement conjugal et d'une place de parc (1'553 fr. 60 [soit 1'942 fr. – 20%] et 100 fr.), les primes d'assurance-maladie LAMal et LCA (432 fr. 25 et 331 fr. 10 dès 2014), la femme de ménage (212 fr. 50), les impôts (environ 1'000 fr.), les frais pour un véhicule (281 fr. pour les impôts, l'essence et l'assurance) et le montant de base OP (1'350 fr.). Conformément à la jurisprudence relative aux enfants à charge d'un crédirentier, il convient, comme le requiert l'appelant, de faire supporter à F______ une part du loyer de l'intimée (arrêts du Tribunal fédéral 5A_464/2012 du 30 novembre 2012 consid. 4.6.2; 5C.277/2001 du 19 décembre 2002 consid. 3.2), à raison de 20%. Il ne sera pas tenu compte des frais médicaux allégués par l'intimée, celle-ci n'ayant produit aucune pièce y relative. Enfin, ses impôts sont estimés à environ 1'000 fr. Ce montant, qui est admis par l'appelant et tient compte d'un revenu annuel d'environ 75'000 fr., découle de l'estimation fiscale produite en première instance par l'intimée, effectuée au moyen de la calculette de l'AFC et faisant état d'impôts à hauteur d'environ 1'500 fr. pour 120'000 fr. de revenus annuels. L'intimée doit ainsi faire face à un déficit de l'ordre de 4'121 fr. 45 par mois.</w:t>
      </w:r>
    </w:p>
    <w:p>
      <w:r>
        <w:rPr>
          <w:b/>
        </w:rPr>
        <w:t>E. 3.5</w:t>
      </w:r>
    </w:p>
    <w:p>
      <w:r>
        <w:t>Compte tenu de la fortune dont dispose l'appelant, dont il apparaît qu'elle a été jusqu'alors mise à contribution pour assurer le train de vie des parties, l'intimée peut ainsi prétendre à au moins la couverture de son déficit mensuel, à savoir 4'121 fr. 45 au minimum.</w:t>
      </w:r>
    </w:p>
    <w:p>
      <w:r>
        <w:t>Contrairement à ce qu'a retenu le premier juge et à ce que soutient l'intimée en appel, il ne se justifie pas d'ajouter au déficit de la couverture de ses charges le montant de 2'250 fr. que lui versait l'appelant durant la vie commune. Ce dernier a en effet expliqué que ce montant était versé à son épouse pour couvrir les frais de nourriture de la famille (soit des charges d'entretien du ménage), l'intimée disposant de sa rente AVS pour ses charges personnelles. Cette dernière n'a pour le surplus pas rendu vraisemblable que ce montant lui était versé pour couvrir des charges exclusivement personnelles, de sorte que rien ne permet de s'écarter des explications de l'appelant et qu'il sera admis que ce montant servait à couvrir des dépenses courantes du couple, lesquelles ont été dûment comptabilisées dans leurs charges respectives.</w:t>
      </w:r>
    </w:p>
    <w:p>
      <w:r>
        <w:t>- 11/14 -</w:t>
      </w:r>
    </w:p>
    <w:p>
      <w:r>
        <w:t>C/26005/2013</w:t>
      </w:r>
    </w:p>
    <w:p>
      <w:r>
        <w:t>En revanche, il est admis que l'intimée disposait de sa rente AVS à titre "d'argent de poche", à savoir pour des dépenses strictement personnelles non comprises dans ses charges incompressibles élargies, qui étaient couvertes par l'appelant. Compte tenu des circonstances particulières du cas d'espèce, à savoir l'âge des parties et le fait que la fortune de l'appelant - qu'il admet être le fruit de son travail et partant des acquêts - était en partie destinée à permettre aux parties de mener un train de vie confortable durant leurs vieux jours, il se justifie d'ajouter, à titre exceptionnel, un montant d'environ 1'000 fr. aux charges élargies de l'appelante, afin de lui permettre de maintenir son ancien train de vie et par souci d'équité par rapport à l'appelant qui aura la possibilité de le faire.</w:t>
      </w:r>
    </w:p>
    <w:p>
      <w:r>
        <w:t>S'agissant du pupille des parties, elles ne sont en l'état soumises à aucune obligation d'entretien à son égard, de sorte qu'il ne sera pas tenu compte du soutien financier - au demeurant indéterminé - qu'elles lui ont jusqu'alors prodigué à bien plaire.</w:t>
      </w:r>
    </w:p>
    <w:p>
      <w:r>
        <w:t>Au vu de ce qui précède, le montant mensuel de la contribution de l'appelant à l'entretien de l'intimée sera fixé au montant arrondi de 5'200 fr., la couverture de la différence entre ce montant et le montant disponible de l'appelant - représentant environ 1'100 fr. par mois - pouvant être exigé de l'appelant au moyen de prélèvements n'entamant pas de manière excessive sa fortune.</w:t>
      </w:r>
    </w:p>
    <w:p>
      <w:r>
        <w:t>Par conséquent, le ch. 3 du dispositif du jugement entrepris sera annulé et l'appelant condamné au sens de ce qui précède, dès l'entrée en force de la présente décision.</w:t>
      </w:r>
    </w:p>
    <w:p>
      <w:r>
        <w:rPr>
          <w:b/>
        </w:rPr>
        <w:t>E. 4</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 Les frais judiciaires ont été arrêtés à 1'000 fr. conformément aux règles légales (art. 95, 96, 104 al. 1; art. 5 et 31 du Règlement fixant le tarif des greffes en matière civile, RTFMC - RS/GE E 1 05.10). Comme le relève à juste titre l'appelant, il ne se justifiait pas de mettre lesdits frais à la seule charge de celui-ci, dans la mesure où son épouse dispose d'environ 100'000 fr. depuis le partage du compte-joint auprès de LA BANQUE C______ au printemps 2014 et est ainsi en mesure de prendre à sa charge la moitié des frais</w:t>
      </w:r>
    </w:p>
    <w:p>
      <w:r>
        <w:t>- 12/14 -</w:t>
      </w:r>
    </w:p>
    <w:p>
      <w:r>
        <w:t>C/26005/2013 judiciaires comme le commandent des motifs d'équité liés à la nature et l'issue du litige (art. 107 al. 1 let. c CPC). Il convient, par conséquent, d'annuler le ch. 8 du dispositif du jugement entrepris et de répartir les frais judiciaires de première instance à parts égales entre les parties.</w:t>
      </w:r>
    </w:p>
    <w:p>
      <w:r>
        <w:rPr>
          <w:b/>
        </w:rPr>
        <w:t>E. 4.2</w:t>
      </w:r>
    </w:p>
    <w:p>
      <w:r>
        <w:t>Les frais judiciaires de la procédure d'appel sont fixés à 1'250 fr. (art. 31 et 37 RTFMC), entièrement couverts par l'avance de frais de 1'250 fr. effectuée par l'appelant. Pour des motifs d'équité liés à la nature et à l'issue du litige, ils seront répartis à parts égales entre les parties (art. 95, 104 al. 1, 105, 106 al. 1 et 107 al. 1 let. c CPC). Pour les mêmes motifs, chaque partie supportera ses propres dépens (art. 107 al. 1 let c. CPC).</w:t>
      </w:r>
    </w:p>
    <w:p>
      <w:r>
        <w:rPr>
          <w:b/>
        </w:rPr>
        <w:t>E. 4.3</w:t>
      </w:r>
    </w:p>
    <w:p>
      <w:r>
        <w:t>L'intimée sera dès lors condamnée à verser la somme de 125 fr. à l'appelant.</w:t>
      </w:r>
    </w:p>
    <w:p>
      <w:r>
        <w:rPr>
          <w:b/>
        </w:rPr>
        <w:t>E. 5</w:t>
      </w:r>
    </w:p>
    <w:p>
      <w:r>
        <w:t>S'agissant de mesures protectrices de l'union conjugale prononcées pour une durée indéterminée, la valeur litigieuse est supérieure au seuil de 30'000 fr. qui ouvre la voie du recours en matière civile au Tribunal fédéral (art. 51 al. 1 lit.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- 13/14 -</w:t>
      </w:r>
    </w:p>
    <w:p>
      <w:r>
        <w:t>C/26005/2013 PAR CES MOTIFS, La Chambre civile : A la forme : Déclare recevable l'appel interjeté le 23 juillet 2014 par A______ contre les chiffres 3 et</w:t>
      </w:r>
    </w:p>
    <w:p>
      <w:r>
        <w:rPr>
          <w:b/>
        </w:rPr>
        <w:t>E. 8</w:t>
      </w:r>
    </w:p>
    <w:p>
      <w:r>
        <w:t>du dispositif du jugement JTPI/8924/2014 rendu le 10 juillet 2014 par le Tribunal de première instance dans la cause C/26005/2013-18. Au fond : Annule les chiffres 3 et 8 de ce dispositif. Cela fait et statuant à nouveau : Condamne A______ à verser en mains de B______, par mois et d'avance, le montant de 5'200 fr. à titre de contribution à son entretien, dès l'entrée en force de la présente décision. Déboute les parties de toutes autres conclusions. Sur les frais de première instance et d'appel : Arrête les frais judiciaires de première instance et d'appel à 2'250 fr., les met à la charge des parties par moitié chacune, à savoir 1'125 fr. à la charge de A______ et 1'125 fr. à la charge de B______, et dit qu'ils sont entièrement compensés par les avance de frais, lesquelles demeurent acquises à l'Etat. Condamne B______ à verser à A______ la somme de 125 fr. au titre de remboursement de sa part des frais judiciaires. Dit que chaque partie supporte ses propres dépens d'appel. Siégeant : Madame Valérie LAEMMEL-JUILLARD, présidente; Madame Nathalie LANDRY- BARTHE et Monsieur Patrick CHENAUX, juges; Madame Audrey MARASCO, greffière. La présidente : Valérie LAEMMEL-JUILLARD</w:t>
      </w:r>
    </w:p>
    <w:p>
      <w:r>
        <w:t>La greffière : Audrey MARASCO</w:t>
      </w:r>
    </w:p>
    <w:p>
      <w:r>
        <w:t>- 14/14 -</w:t>
      </w:r>
    </w:p>
    <w:p>
      <w:r>
        <w:t>C/26005/2013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