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ACJC/1346/2015 vom 9. November 2015</w:t>
      </w:r>
    </w:p>
    <w:p>
      <w:r>
        <w:t>GE Cour de justice, 2015-11-09, FR</w:t>
      </w:r>
    </w:p>
    <w:p>
      <w:r>
        <w:rPr>
          <w:b/>
        </w:rPr>
        <w:t xml:space="preserve">Quelle: </w:t>
      </w:r>
      <w:r>
        <w:t>https://mcp.opencaselaw.ch/entscheid/ge_gerichte_ACJC_1346_2015</w:t>
      </w:r>
    </w:p>
    <w:p>
      <w:r>
        <w:t>FR: GE_GERICHTE ACJC/1346/2015 du 9 novembre 2015</w:t>
      </w:r>
    </w:p>
    <w:p>
      <w:r>
        <w:t>IT: GE_GERICHTE ACJC/1346/2015 del 9 novembre 2015</w:t>
      </w:r>
    </w:p>
    <w:p>
      <w:pPr>
        <w:pStyle w:val="Heading2"/>
      </w:pPr>
      <w:r>
        <w:t>Volltext</w:t>
      </w:r>
    </w:p>
    <w:p>
      <w:r>
        <w:t>Le présent arrêt est communiqué aux parties par plis recommandés, ainsi qu'au Tribunal de protection de l'adulte et de l'enfant et au Tribunal de première instance le 9 novembre 2015.</w:t>
      </w:r>
    </w:p>
    <w:p>
      <w:r>
        <w:t>REPUBLIQUE ET</w:t>
      </w:r>
    </w:p>
    <w:p>
      <w:r>
        <w:t>CANTON DE GENEVE POUVOIR JUDICIAIRE C/26155/2014 ACJC/1346/2015 ARRÊT DE LA COUR DE JUSTICE Chambre civile DU JEUDI 5 NOVEMBRE 2015</w:t>
      </w:r>
    </w:p>
    <w:p>
      <w:r>
        <w:t>Entre A______, domiciliée ______, Genève, appelante d'un jugement rendu par la 16ème Chambre du Tribunal de première instance de ce canton le 21 septembre 2015, comparant par Me Olivier Wehrli, avocat, 8-10, rue de Hesse, case postale 5715, 1211 Genève 11, en l'Étude duquel elle fait élection de domicile, et B______, domicilié ______, Genève, intimé, comparant par Me Philippe Eigenheer, avocat, 6, rue Bartholoni, case postale 5210, 1211 Genève 11, en l'Étude duquel il fait élection de domicile.</w:t>
      </w:r>
    </w:p>
    <w:p>
      <w:r>
        <w:t>- 2/5 -</w:t>
      </w:r>
    </w:p>
    <w:p>
      <w:r>
        <w:t>C/26155/2014 Vu, EN FAIT, le jugement JTPI/10819/2015 du 21 septembre 2015, notifié le surlendemain à A______, par lequel le Tribunal de première instance, statuant sur mesures protectrices de l'union conjugale, a, notamment, autorisé les époux A______ et B______ à vivre séparés (ch. 1), attribué la garde sur C______ à l'épouse (ch. 2), fixé le droit de visite du père à raison d'une fois par semaine, le mardi soir de la sortie de l'école jusqu'à 20h, un week-end sur deux du vendredi soir au dimanche soir et à la moitié des vacances scolaires (ch. 3), donné acte au mari de son engagement à prévenir son épouse une semaine avant le début du mois concerné de toute modification dans le droit de visite et à lui transmettre un planning de ses horaires une semaine avant le début du mois concerne (ch. 4), fixé la contribution d'entretien mensuelle en faveur de C______ à 1'100 fr. du 1er mai au 31 août 2015 (ch. 5), puis à 400 fr. à compter du 1er septembre 2015 (ch. 6), arrêté celle en faveur de l'épouse à 500 fr. dès le 1er mai 2015 (ch. 7), instauré une curatelle d'organisation et de surveillance des relations personnelles (ch. 8) et attribué la jouissance exclusive du domicile conjugal à l'épouse (ch. 9); Vu l'appel déposé le 5 octobre 2015 par A______ au greffe de la Cour de justice, concluant à l'annulation des chiffres 3, 5, 6 et 7 du dispositif du jugement précité et, en particulier, à un droit de visite s'exerçant tous les mardis de la sortie de l'école à 20h, à raison de 24h en alternance chaque week-end du vendredi à 19h au samedi à 19h ou du samedi à 19h au dimanche à 19h, le père s'engageant à venir chercher et à ramener sa fille au domicile de la mère; Qu'à titre préalable, l'appelante sollicite l'effet suspensif en ce qui concerne le droit de visite et, par conséquent, le maintien du droit de visite tel que régi par l'ordonnance du 19 mai 2015, exposant que, dans la mesure où elle conteste les modalités du droit de visite fixées par le jugement, il convient d'éviter à C______ d'introduire un changement de celles-ci qui ne pourrait, à défaut d'effet suspensif et en cas d'admission de l'appel, n'être valable que pendant la durée de la procédure d'appel; Qu'invité à se déterminer sur la requête d'effet suspensif, l'intimé s'y oppose, expliquant que le droit de visite a été fixé après une instruction approfondie et complète des faits, qu'il correspond aux recommandations du Service de protection des mineurs, qu'il introduit un élargissement de celui-ci et n'institue pas nouvellement des relations personnelles et, enfin, que la curatelle instaurée permettra d'apporter des mesures d'encadrement si la pratique du droit de visite devait présenter des difficultés; Considérant, EN DROIT, que la Cour est saisie d'un appel au sens de l'art. 308 CPC; Que le jugement querellé portant sur des mesures provisionnelles, l'appel n'a pas d'effet suspensif ex lege (art. 315 al. 4 let. b CPC); Que compte tenu de la présence d'un enfant mineur, la maxime d'office est applicable;</w:t>
      </w:r>
    </w:p>
    <w:p>
      <w:r>
        <w:t>- 3/5 -</w:t>
      </w:r>
    </w:p>
    <w:p>
      <w:r>
        <w:t>C/26155/2014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mutas mutatis aux relations personnelles; Qu'en l'espèce, l'ordonnance sur mesures provisionnelles rendue d'entente entre les parties le 20 avril 2015 prévoit que le droit de visite s'exerce à raison de tous les mardis et mercredis, de la sortie de la crèche jusqu'à 20h00, moment auquel le père ramènera l'enfant chez sa mère et à raison de 24 heures en alternance chaque week-end; Que, comme le relève l'intimé, le jugement querellé modifie le droit de visite existant; Que, conformément à ce qui vient d'être exposé, il convient d'éviter de modifier, pendant la procédure d'appel, des changements dans les relations personnelles, qui ne pourraient, le cas échéant, n'être applicables que pendant une courte durée; Que le bien de la fille des parties commande ainsi de maintenir les modalités du droit de visite fixées le 20 avril 2015 pendant la procédure d'appel, étant précisé que l'appel n'apparaît, sur ce point, pas manifestement irrecevable ou mal fondé; Qu'au vu de ce qui précède, la requête d'effet suspensif sera donc admise;</w:t>
      </w:r>
    </w:p>
    <w:p>
      <w:r>
        <w:t>- 4/5 -</w:t>
      </w:r>
    </w:p>
    <w:p>
      <w:r>
        <w:t>C/26155/2014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C/26155/2014 PAR CES MOTIFS, La Présidente de la Chambre civile : Statuant sur suspension de l'exécution : Admet la requête de A______ tendant à la suspension de l'effet exécutoire attaché au chiffre 3 du dispositif du jugement JTPI/10819/2015 rendu le 21 septembre 2015 par le Tribunal de première instance dans la procédure C/26155/2014-16.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