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ACJC/1344/2024 vom 31. Oktober 2024</w:t>
      </w:r>
    </w:p>
    <w:p>
      <w:r>
        <w:t>GE Cour de justice, 2024-10-31, FR</w:t>
      </w:r>
    </w:p>
    <w:p>
      <w:r>
        <w:rPr>
          <w:b/>
        </w:rPr>
        <w:t xml:space="preserve">Quelle: </w:t>
      </w:r>
      <w:r>
        <w:t>https://mcp.opencaselaw.ch/entscheid/ge_gerichte_ACJC_1344_2024</w:t>
      </w:r>
    </w:p>
    <w:p>
      <w:r>
        <w:t>FR: GE_GERICHTE ACJC/1344/2024 du 31 octobre 2024</w:t>
      </w:r>
    </w:p>
    <w:p>
      <w:r>
        <w:t>IT: GE_GERICHTE ACJC/1344/2024 del 31 ottobre 2024</w:t>
      </w:r>
    </w:p>
    <w:p>
      <w:pPr>
        <w:pStyle w:val="Heading2"/>
      </w:pPr>
      <w:r>
        <w:t>Erwägungen</w:t>
      </w:r>
    </w:p>
    <w:p>
      <w:r>
        <w:rPr>
          <w:b/>
        </w:rPr>
        <w:t>E. 1.1</w:t>
      </w:r>
    </w:p>
    <w:p>
      <w:r>
        <w:t>L'appel, formé dans les délais et forme légaux, contre une décision finale rendue dans une affaire non patrimoniale est recevable (art. 308 et 311 CPC).</w:t>
      </w:r>
    </w:p>
    <w:p>
      <w:r>
        <w:rPr>
          <w:b/>
        </w:rPr>
        <w:t>E. 1.2</w:t>
      </w:r>
    </w:p>
    <w:p>
      <w:r>
        <w:t>Les seules questions litigieuses à ce stade concernant les enfants mineurs des parties, la maxime inquisitoire (art. 55 al. 2 CPC) et la maxime d'office (art. 58 al. 2 CPC) sont applicables (art. 277 al. 3, 296 al. 1 et 3 CPC).</w:t>
      </w:r>
    </w:p>
    <w:p>
      <w:r>
        <w:rPr>
          <w:b/>
        </w:rPr>
        <w:t>E. 2</w:t>
      </w:r>
    </w:p>
    <w:p>
      <w:r>
        <w:t>Les parties ont produit des pièces nouvelles.</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faits et moyens de preuve nouveaux sont admis en appel, même si les conditions prévues par l'art. 317 al. 1 CPC ne sont pas réalisées (ATF 144 III 349 consid. 4.2.1).</w:t>
      </w:r>
    </w:p>
    <w:p>
      <w:r>
        <w:t>- 6/11 -</w:t>
      </w:r>
    </w:p>
    <w:p>
      <w:r>
        <w:t>C/18336/2023</w:t>
      </w:r>
    </w:p>
    <w:p>
      <w:r>
        <w:rPr>
          <w:b/>
        </w:rPr>
        <w:t>E. 2.2</w:t>
      </w:r>
    </w:p>
    <w:p>
      <w:r>
        <w:t>Les pièces nouvelles produites par les parties concernent la situation de leurs enfants mineurs, de sorte qu'elles sont recevables.</w:t>
      </w:r>
    </w:p>
    <w:p>
      <w:r>
        <w:rPr>
          <w:b/>
        </w:rPr>
        <w:t>E. 3</w:t>
      </w:r>
    </w:p>
    <w:p>
      <w:r>
        <w:t>Le Tribunal a retenu qu'il convenait de maintenir le domicile légal des enfants auprès de leur père à G______. Il ne ressortait pas de la procédure que les enfants avaient un lien plus étroit avec l'un ou l'autre de leurs parents. D______, âgé de</w:t>
      </w:r>
    </w:p>
    <w:p>
      <w:r>
        <w:rPr>
          <w:b/>
        </w:rPr>
        <w:t>E. 3.1</w:t>
      </w:r>
    </w:p>
    <w:p>
      <w:r>
        <w:t>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Dans l'hypothèse où les parents conviennent d'une garde alternée, la référence au critère de la garde "de fait" ne permet pas de déterminer un domicile unique; il convient dès lors de déterminer, à l'aide de critères objectifs, quel sera le domicile de l'enfant. En présence d'une garde alternée de durée égale, le recours à des critères supplémentaires - tels que le lieu de scolarisation et d'accueil pré- et post- scolaire, ou le lieu de prise en charge si l'enfant n'est pas encore scolarisé, la participation à la vie sociale, notamment la fréquentation d'activités sportives et artistiques, la présence d'autres personnes de référence, etc. - se révèle alors indispensable. Le domicile se trouvera ainsi au lieu de résidence avec lequel les liens sont les plus étroits (arrêt du Tribunal fédéral 5A_257/2023, 5A_278/2023 du 4 décembre 2023, consid. 4.2).</w:t>
      </w:r>
    </w:p>
    <w:p>
      <w:r>
        <w:rPr>
          <w:b/>
        </w:rPr>
        <w:t>E. 3.2</w:t>
      </w:r>
    </w:p>
    <w:p>
      <w:r>
        <w:t>En l'espèce, l'appelante relève à juste titre que, dans la pondération des différents éléments conduisant à déterminer le domicile légal des enfants, le Tribunal a accordé une importance excessive au lieu de scolarisation actuel de D______. En effet, la fixation du domicile des enfants auprès de leur père entraîne leur scolarisation à G______. Comme ils passent deux tiers environ de leur temps chez leur mère, cela les oblige à effectuer de nombreux et longs trajets pour se rendre à l'école. A cet égard, il n'est pas contesté par l'intimé que le trajet entre le domicile de l'appelante et G______ dure environ 50 minutes et, qu'en étant scolarisés à G______, les enfants doivent effectuer ce trajet plus d'une douzaine de fois, alors qu'ils ne le feraient qu'une demi-douzaine de fois s'ils fréquentaient l'école de F______. Comme l'a relevé le SEASP dans son rapport d'évaluation, la longueur et la fréquence de ces trajets en transports publics sont de nature à fatiguer excessivement les enfants et à porter atteinte à leur bien-être. A cela s'ajoute que la domiciliation des enfants chez leur père, alors que c'est leur mère qui se charge de toutes leurs démarches administratives, paie leurs factures et touche les allocations familiales, risque d'être source de diverses complications de nature administratives. Par exemple, des factures et courriers les concernant. adressés à leur domicile légal, devront être transmis à l'appelante par l'intimé, avec les risques de retards ou d'erreur que cela comporte. Au regard de ce qui précède, le fait que D______ aime bien son école, où il a actuellement ses amis et ses activités extra-scolaires n'est pas déterminant. Il n'a que 8 ans et pourra certainement rapidement s'adapter à une nouvelle école. En</w:t>
      </w:r>
    </w:p>
    <w:p>
      <w:r>
        <w:t>- 8/11 -</w:t>
      </w:r>
    </w:p>
    <w:p>
      <w:r>
        <w:t>C/18336/2023 outre, comme le relève l'appelante, même s'il est scolarisé à F______, il pourra continuer à jouer au football à G______ puisqu'il est chez son père le mercredi. Il pourra également passer du temps avec ses amis de G______ lorsqu'il sera chez celui-ci. La fixation du domicile des enfants chez l'appelante permettrait en outre d'éviter à E______, qui n'a pas d'attaches particulières avec l'école de G______, la fatigue liée à un nombre excessif de trajets matinaux. La fratrie ne serait en outre pas séparée. Le fait que l'intimé affirme avoir recréé un foyer harmonieux avec sa nouvelle compagne n'est pas décisif puisque la fixation du domicile légal n'a aucune influence sur les modalités de garde des enfants. Contrairement à ce qu'allègue l'intimé, aucun élément du dossier ne permet par ailleurs de retenir que l'appelante aurait l'intention de déménager à court terme Compte tenu de ce qui précède, la Cour retiendra qu'il est dans l'intérêt des enfants de fixer leur domicile légal auprès de l'appelante. Le chiffre 5 du jugement querellé sera dès lors modifié en conséquence. 4. Le Tribunal a attribué à l'intimé la totalité du bonus éducatif au sens de la LAVS, conformément à l'accord des époux qui avaient prévu dans leur convention que ledit bonus serait attribué au parent auprès duquel les enfants seraient domiciliés.</w:t>
      </w:r>
    </w:p>
    <w:p>
      <w:r>
        <w:t>L'appelante fait valoir que la totalité du bonus éducatif doit lui être attribuée car elle assume la plus grande partie de la charge des enfants.</w:t>
      </w:r>
    </w:p>
    <w:p>
      <w:r>
        <w:t>L'intimé le conteste, soutenant que la charge des enfants est partagée de manière égale entre les parents. 4.1.1 Le bonus éducatif est un revenu fictif ajouté automatiquement au montant total des cotisations AVS du père, de la mère ou des deux parents d'enfants âgés de moins de 16 ans (art. 29sexies LAVS). Dans le cas de parents divorcés ou non mariés exerçant conjointement l’autorité parentale, le tribunal règle l’attribution de la bonification pour tâches éducatives en même temps que l’autorité parentale, la garde de l’enfant ou la participation de chaque parent à la prise en charge de l’enfant (art. 52fbis al. 1 RAVS). Le tribunal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(art. 52fbis al. 2 RAVS).</w:t>
      </w:r>
    </w:p>
    <w:p>
      <w:r>
        <w:t>- 9/11 -</w:t>
      </w:r>
    </w:p>
    <w:p>
      <w:r>
        <w:t>C/18336/2023 4.1.2 Selon l'art. 279 al. 1 CPC,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4.2 En l'espèce, même si l'appelante a les enfants auprès d'elle un peu plus souvent que l'intimé, il n'en demeure pas moins que la garde de ceux-ci est alternée dans le principe – comme les parties l'ont souligné dans leur convention - et que les deux parents participent de manière globalement équivalente à la prise en charge des enfants. Il serait dès lors inéquitable au sens de l'art. 279 al. 1 CPC de n'attribuer le bonus pour tâches éducative qu'à un seul des deux parents. Pour cette raison, il convient de s'écarter des termes de la convention des parties sur ce point et de prévoir, conformément à l'art. 52fbis al. 2 RAVS, que la bonification sera partagée par moitié entre les parents. Le chiffre 6 du dispositif du jugement querellé sera dès lors modifié en ce sens. 5. Il n'y a pas lieu de modifier la répartition des frais et dépens effectuée par le Tribunal.</w:t>
      </w:r>
    </w:p>
    <w:p>
      <w:r>
        <w:t>Compte tenu de la nature familiale et de l'issue du litige, les frais judiciaires d'appel, arrêtés à 800 fr., seront mis à la charge des parties à raison d'une moitié chacune (art. 107 let. c CPC; 30 et 35 RTFMC).</w:t>
      </w:r>
    </w:p>
    <w:p>
      <w:r>
        <w:t>La part de l'appelante, qui bénéficie de l'assistance judiciaire, sera provisoirement laissée à la charge de l'Etat de Genève, qui pourra en réclamer le remboursement ultérieurement (art. 123 CPC).</w:t>
      </w:r>
    </w:p>
    <w:p>
      <w:r>
        <w:t>L'intimé sera condamné à verser 400 fr. au titre des frais judiciaires d'appel à l'Etat de Genève.</w:t>
      </w:r>
    </w:p>
    <w:p>
      <w:r>
        <w:t>Chaque partie gardera ses dépens d'appel à sa charge. * * * * *</w:t>
      </w:r>
    </w:p>
    <w:p>
      <w:r>
        <w:t>- 10/11 -</w:t>
      </w:r>
    </w:p>
    <w:p>
      <w:r>
        <w:t>C/18336/2023 PAR CES MOTIFS, La Chambre civile : A la forme : Déclare recevable l'appel interjeté par A______ contre le jugement JTPI/2251/2024 rendu le 15 février 2024 par le Tribunal de première instance dans la cause C/18336/2023. Au fond : Annule les chiffres 5 et 6 du dispositif de ce jugement et, statuant à nouveau : Dit que le domicile légal des enfants D______ et E______ est auprès de A______. Dit que la bonification pour tâches éducatives au sens de l'art. 52fbis RAVS est partagée par moitié entre A______ et B______. Déboute les parties de toutes autres conclusions. Sur les frais : Met les frais judiciaires d'appel, arrêtés à 800 fr., à la charge des parties à raison d'une moitié chacune. Dit que la part des frais judiciaires de A______ est provisoirement supportée par l'Etat de Genève. Condamne B______ à verser 400 fr. à l'Etat de Genève, soit pour lui les Services financiers du Pouvoir judiciaire. Dit qu'il n'est pas alloué de dépens d'appel. Siégeant : Monsieur Laurent RIEBEN, président; Madame Fabienne GEISINGER-MARIETHOZ, Madame Ursula ZEHETBAUER GHAVAMI, juges; Madame Emilie FRANÇOIS, greffière.</w:t>
      </w:r>
    </w:p>
    <w:p>
      <w:r>
        <w:t>- 11/11 -</w:t>
      </w:r>
    </w:p>
    <w:p>
      <w:r>
        <w:t>C/18336/2023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8</w:t>
      </w:r>
    </w:p>
    <w:p>
      <w:r>
        <w:t>ans, allait à l'école et au parascolaire à G______ et y avait le centre de sa vie sociale. Le maintien de son équilibre commandait de ne pas le changer d'école. Le fait que sa scolarisation à G______ implique plus de trajets en fonction du parent chez lequel il dormait (à savoir 3 voire 4 trajets par semaine, alors que s'il était scolarisé à F______, il ne ferait que 1, voire 2 trajets par semaines) ne l'emportait pas sur le besoin de stabilité de l'enfant. Il était préférable par ailleurs de ne pas séparer la fratrie, de sorte que le domicile de E______ devait également être fixé auprès de son père.</w:t>
      </w:r>
    </w:p>
    <w:p>
      <w:r>
        <w:t>L'appelante fait valoir qu'elle a été contrainte de déménager à F______ du fait des violences conjugales qu'elle a subies. La garde alternée lui avait été imposée. Elle s'était principalement occupée des enfants pendant la vie commune. Elle s'acquittait de toutes les factures des enfants et percevait les allocations familiales, de sorte qu'il se justifiait de fixer leur domicile administratif chez elle. Compte tenu de la garde alternée convenue entre les parties, les enfants passaient environ 2/3 de leur temps chez elle et 1/3 chez l'intimé. Leur scolarisation à G______ avait pour conséquence de leur faire faire le double de trajets de 50 minutes, à savoir 14 trajets sur deux semaines au lieu de 6. Le Tribunal n'avait pas tenu compte du fait que les enfants n'avaient pas l'école le mercredi matin avant l'âge de 8 ans. Aucun élément du dossier ne confirmait que D______ avait le centre de sa vie sociale à G______, étant précisé qu'il n'était membre du club de football de I______ que depuis décembre 2022. Rien n'empêchait au demeurant D______ de continuer à jouer au football à G______ tout en étant scolarisé à F______, puisqu'il allait le mercredi chez son père. La solution choisie par le Tribunal prétéritait la situation de E______, qui n'avait pas d'attaches particulières avec l'école de G______ et qui se voyait ainsi contrainte de faire de longs trajets inutiles.</w:t>
      </w:r>
    </w:p>
    <w:p>
      <w:r>
        <w:t>L'intimé fait pour sa part valoir que le raisonnement du Tribunal doit être confirmé. La situation avait changé depuis l’établissement du rapport du SEASP et les tensions entre les parties s’étaient apaisées, de sorte que ce rapport n'était plus d’actualité. La prise en charge des enfants par l'appelante était moins importante que ce qu'elle alléguait puisqu'il fallait tenir compte du fait que les enfants passaient les journées à l'école. Il avait recréé un foyer harmonieux avec sa nouvelle compagne, ce qui contribuait à l'équilibre de D______. Il était probable que l'appelante allait changer de domicile à l'avenir, ce qui obligerait les enfants à changer une nouvelle fois d'école.</w:t>
      </w:r>
    </w:p>
    <w:p>
      <w:r>
        <w:t>- 7/11 -</w:t>
      </w:r>
    </w:p>
    <w:p>
      <w:r>
        <w:t>C/18336/2023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