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ACJC/1343/2014 vom 13. November 2014</w:t>
      </w:r>
    </w:p>
    <w:p>
      <w:r>
        <w:t>GE Cour de justice, 2014-11-13, FR</w:t>
      </w:r>
    </w:p>
    <w:p>
      <w:r>
        <w:rPr>
          <w:b/>
        </w:rPr>
        <w:t xml:space="preserve">Quelle: </w:t>
      </w:r>
      <w:r>
        <w:t>https://mcp.opencaselaw.ch/entscheid/ge_gerichte_ACJC_1343_2014</w:t>
      </w:r>
    </w:p>
    <w:p>
      <w:r>
        <w:t>FR: GE_GERICHTE ACJC/1343/2014 du 13 novembre 2014</w:t>
      </w:r>
    </w:p>
    <w:p>
      <w:r>
        <w:t>IT: GE_GERICHTE ACJC/1343/2014 del 13 novembre 2014</w:t>
      </w:r>
    </w:p>
    <w:p>
      <w:pPr>
        <w:pStyle w:val="Heading2"/>
      </w:pPr>
      <w:r>
        <w:t>Erwägungen</w:t>
      </w:r>
    </w:p>
    <w:p>
      <w:r>
        <w:rPr>
          <w:b/>
        </w:rPr>
        <w:t>E. 1</w:t>
      </w:r>
    </w:p>
    <w:p>
      <w:r>
        <w:t>L'appel a été interjeté dans le délai de trente jours et suivant la forme prescrite par la loi (art. 311 al. 1 CPC). Il est dirigé contre une décision finale de première instance, dans une affaire patrimoniale d'une valeur litigieuse largement supérieure à 10 000 francs (art. 308 al. 1 let. a et al. 2 CPC). L'appelante B.______ SA n'a certes pas obtenu la constatation de l'irrecevabilité de la demande à son égard, mais elle n'a été condamnée ni sur le fond, ni aux frais et dépens de première instance. Elle n'a pas d'intérêt juridique à appeler (art. 59 al.</w:t>
      </w:r>
    </w:p>
    <w:p>
      <w:r>
        <w:rPr>
          <w:b/>
        </w:rPr>
        <w:t>E. 2</w:t>
      </w:r>
    </w:p>
    <w:p>
      <w:r>
        <w:t>L'appelant conteste la légitimation active de l'intimée qui, selon lui, aurait dû agir conjointement avec la deuxième courtière qui n'est pas partie à la procédure.</w:t>
      </w:r>
    </w:p>
    <w:p>
      <w:r>
        <w:t>- 7/11 -</w:t>
      </w:r>
    </w:p>
    <w:p>
      <w:r>
        <w:t>C/2682/2012</w:t>
      </w:r>
    </w:p>
    <w:p>
      <w:r>
        <w:rPr>
          <w:b/>
        </w:rPr>
        <w:t>E. 2.1</w:t>
      </w:r>
    </w:p>
    <w:p>
      <w:r>
        <w:t>La liberté contractuelle (art. 19 al. 1 CO) permet la conclusion d'un contrat de courtage liant un seul mandant à plusieurs courtiers qui s'obligent à son égard de façon solidaire (art. 143 al. 1 CO) ou commune et à qui le mandant promet une commission dont les courtiers multiples sont les créanciers solidaires (art. 150 CO) ou communs (dans le sens de l'art. 544 al. 1 CO) ou à qui le mandant promet plusieurs commissions, une commission individuelle revenant à chaque courtier créancier. Le cas échéant, un courtier peut représenter les autres (art. 32 ss CO) lors de la conclusion du contrat de courtage.</w:t>
      </w:r>
    </w:p>
    <w:p>
      <w:r>
        <w:t>S'ils le souhaitent, plusieurs courtiers liés au même mandant par un seul contrat de courtage peuvent régler leurs rapports internes par un contrat de société simple, mais tel n'est nullement nécessaire et, surtout, leurs rapports internes n'influent pas sur leurs rapports externes avec leur mandant puisque ces rapports externes sont soumis au seul contrat de courtage. Il convient de rappeler, à cet égard, que la société simple n'a pas la personnalité juridique et qu'elle n'est qu'un contrat par lequel deux ou plusieurs personnes conviennent d'unir leurs efforts ou leurs ressources en vue d'atteindre un but commun (art. 530 al. 1 CO). Selon les règles sur la représentation (art. 543 al. 2, art. 32 ss CO), un associé peut aussi lier les autres à un tiers mandant, mais lorsqu'il ne traite qu'en son nom personnel, ses associés ne deviennent ni créancier, ni débiteur du mandant (art. 543 al. 1 CO).</w:t>
      </w:r>
    </w:p>
    <w:p>
      <w:r>
        <w:t>Autrement dit, selon le principe de la relativité des contrats, seul le contrat de courtage détermine la nature solidaire, commune ou individuelle des obligations des courtiers à l'égard de leur mandant et celles de leur mandant à leur égard. En particulier, seul le contrat de courtage détermine de quelle manière (solidaire, commune ou individuelle) les courtiers peuvent réclamer au mandant le paiement de leur(s) commission(s).</w:t>
      </w:r>
    </w:p>
    <w:p>
      <w:r>
        <w:t>Dans ce contexte, il ne faut pas perdre de vue la possibilité, pour le mandataire ou courtier, de se substituer un sous-mandataire (cf. art. 399 CO) ou sous-courtier qui n'est pas directement lié au mandant principal et qui ne peut donc réclamer aucune rémunération à celui-ci.</w:t>
      </w:r>
    </w:p>
    <w:p>
      <w:r>
        <w:rPr>
          <w:b/>
        </w:rPr>
        <w:t>E. 2.2</w:t>
      </w:r>
    </w:p>
    <w:p>
      <w:r>
        <w:t>En l'espèce, l'appelant a conclu un contrat de courtage avec l'intimée. Ultérieurement, l'intimée a conclu un autre contrat avec une deuxième courtière.</w:t>
      </w:r>
    </w:p>
    <w:p>
      <w:r>
        <w:t>A l'égard de l'appelant, il n'a jamais été question de cette deuxième courtière qui n'a donc pas été valablement représentée à l'égard de l'appelant (art. 543 al. 1 et art. 32 ss CO) et qui n'est pas partie à la procédure, à juste titre. Cette autre courtière n'a en effet aucune créance contractuelle en paiement contre l'appelant, mais exclusivement contre l'intimée.</w:t>
      </w:r>
    </w:p>
    <w:p>
      <w:r>
        <w:t>Il s'ensuit que c'est à juste titre que le premier juge a reconnu la légitimation active à l'intimée, qui est la titulaire exclusive de la créance litigieuse.</w:t>
      </w:r>
    </w:p>
    <w:p>
      <w:r>
        <w:t>- 8/11 -</w:t>
      </w:r>
    </w:p>
    <w:p>
      <w:r>
        <w:t>C/2682/2012</w:t>
      </w:r>
    </w:p>
    <w:p>
      <w:r>
        <w:rPr>
          <w:b/>
        </w:rPr>
        <w:t>E. 3</w:t>
      </w:r>
    </w:p>
    <w:p>
      <w:r>
        <w:t>L'appelant ne conteste plus, à juste titre, que le contrat de courtage le liant à l'intimée a été exécuté de manière parfaite, conférant ainsi à l'intimée une créance en paiement de sa commission. En revanche, il invoque toujours une prétendue extinction de cette créance, par voie de compensation.</w:t>
      </w:r>
    </w:p>
    <w:p>
      <w:r>
        <w:rPr>
          <w:b/>
        </w:rPr>
        <w:t>E. 3.1</w:t>
      </w:r>
    </w:p>
    <w:p>
      <w:r>
        <w:t>Lorsque deux personnes sont débitrices l'une envers l'autre de sommes d'argent, chacune des parties peut compenser sa dette avec sa créance, si les deux dettes sont exigibles (art. 120 al. 1 CO), et le débiteur peut opposer la compensation même si sa créance est contestée (art. 120 al. 3 CO).</w:t>
      </w:r>
    </w:p>
    <w:p>
      <w:r>
        <w:t>La compensation n'a lieu qu'autant que le débiteur fait connaître au créancier son intention de l'invoquer (art. 124 al. 1 CO).</w:t>
      </w:r>
    </w:p>
    <w:p>
      <w:r>
        <w:t>Les deux dettes sont alors réputées éteintes, jusqu'à concurrence du montant de la plus faible, depuis le moment où elles pouvaient être compensées (art. 124 al. 2 CO).</w:t>
      </w:r>
    </w:p>
    <w:p>
      <w:r>
        <w:rPr>
          <w:b/>
        </w:rPr>
        <w:t>E. 3.2</w:t>
      </w:r>
    </w:p>
    <w:p>
      <w:r>
        <w:t>En vertu de la maxime des débats, il incombe aux parties d'alléguer les faits sur lesquels elles fondent leur prétentions (art. 55 al. 1 CPC; fardeau de l'allégation).</w:t>
      </w:r>
    </w:p>
    <w:p>
      <w:r>
        <w:t>Puisque la procédure probatoire ne doit porter que sur les faits pertinents et contestés (art. 150 al. 1 CPC), chaque partie devait articuler ses allégués avec précision (TAPPY in Code de procédure civile commenté, BOHNET/HALDY/ JEANDIN/SCHWEIZER/TAPPY [éd.], 2011, n° 5 ad art. 55 CPC, n° 18 ad art. 222 CPC) pour permettre au juge non seulement d'appliquer le droit de fond, mais encore d'administrer les preuves nécessaires pour élucider les faits allégués (charge de motivation; HOHL, Procédure civile tome I, Berne 2001 p. 155 n° 798 avec références) et, préalablement, pour permettre à la partie adverse de se déterminer de manière précise sur les faits allégués (arrêt du Tribunal fédéral 4A_588/2011 du 3 mai 2012 consid. 2.2.1).</w:t>
      </w:r>
    </w:p>
    <w:p>
      <w:r>
        <w:t>La procédure probatoire n'est pas destinée à compléter des allégués lacunaires (ATF 127 III 365 consid. 2c), et le plaideur qui n'allègue pas des faits suffisamment précis pour permettre au juge d'appliquer le droit de fond ne peut pas lui reprocher de ne pas avoir ordonné des mesures probatoires (arrêt du Tribunal fédéral 4A_300/2013 du 2 octobre 2013 consid. 6.3.3).</w:t>
      </w:r>
    </w:p>
    <w:p>
      <w:r>
        <w:rPr>
          <w:b/>
        </w:rPr>
        <w:t>E. 3.3</w:t>
      </w:r>
    </w:p>
    <w:p>
      <w:r>
        <w:t>L'appelant a invoqué la compensation de la créance salariale de l'intimée avec une créance de 139'693 fr. 30 (110'000 fr. pour constituer une société anonyme, 18'126 fr. de frais de déménagement, et 11'567 fr. 30 de frais d'avocat) qu'il prétend avoir à son encontre, en raison du fait qu'un tiers ne lui a pas acheté sa villa, après avoir manifesté son intention initiale de le faire.</w:t>
      </w:r>
    </w:p>
    <w:p>
      <w:r>
        <w:t>- 9/11 -</w:t>
      </w:r>
    </w:p>
    <w:p>
      <w:r>
        <w:t>C/2682/2012</w:t>
      </w:r>
    </w:p>
    <w:p>
      <w:r>
        <w:t>Il n'a toutefois rien précisé de plus à ce sujet. Ses allégués étaient par conséquent trop lacunaires pour permettre d'appliquer des dispositions légales qui permettraient de lui reconnaître une créance contre l'intimée, en réparation de son (prétendu) dommage de 139'693 fr. 30.</w:t>
      </w:r>
    </w:p>
    <w:p>
      <w:r>
        <w:t>Dans ces conditions, l'appelant ne peut pas non plus reprocher au premier juge de ne pas avoir ordonné des mesures probatoires au sujet de sa prétendue créance en paiement de 139'693 fr. 30, et c'est à juste titre que le Tribunal a écarté l'exception de compensation invoquée par l'appelant.</w:t>
      </w:r>
    </w:p>
    <w:p>
      <w:r>
        <w:t>Il s'ensuit que c'est aussi à juste titre que le tribunal a condamné l'appelant à payer à l'intimée la commission convenue de 50'400 fr.</w:t>
      </w:r>
    </w:p>
    <w:p>
      <w:r>
        <w:t>L'appel, qui frise la témérité (art. 128 al. 3 CPC), est rejeté.</w:t>
      </w:r>
    </w:p>
    <w:p>
      <w:r>
        <w:t>C'est en raison d'une simple erreur de plume que le montant de la condamnation qui figure dans le dispositif du jugement entrepris est de 50'500 fr. Il convient donc de rectifier cette erreur et d'arrêter à 50'400 fr. le montant en capital que l'appelant doit payer à l'intimée (art. 334 al. 1 CPC).</w:t>
      </w:r>
    </w:p>
    <w:p>
      <w:r>
        <w:rPr>
          <w:b/>
        </w:rPr>
        <w:t>E. 4.1</w:t>
      </w:r>
    </w:p>
    <w:p>
      <w:r>
        <w:t>Lorsque l'instance d'appel statue à nouveau, elle se prononce sur les frais de première instance (art. 318 al. 3 CPC).</w:t>
      </w:r>
    </w:p>
    <w:p>
      <w:r>
        <w:t>Les parties n'ont pas remis en cause les frais judiciaires arrêtés par le premier juge à 8'410 fr., conformément aux art. 17 et 13 RTFMC, ni les dépens, TVA comprise, arrêtés à 7'810 fr. conformément aux art. 26 LaCC et 84 et 85 RTFMC. Ces frais et dépens ne seront donc pas modifiés.</w:t>
      </w:r>
    </w:p>
    <w:p>
      <w:r>
        <w:t>Compte tenu de l'issue du litige, il y a également lieu de confirmer la répartition des frais judiciaires et dépens de première instance selon les chiffres 2 et 3 du dispositif du jugement entrepris, en application des art. 95 al. 2 , 105 al. 1 et 106 al. 1 et 111 al. 1 CPC.</w:t>
      </w:r>
    </w:p>
    <w:p>
      <w:r>
        <w:rPr>
          <w:b/>
        </w:rPr>
        <w:t>E. 4.2</w:t>
      </w:r>
    </w:p>
    <w:p>
      <w:r>
        <w:t>Les frais judiciaires d'appel seront arrêtés à 6'000 fr. (art. 35, 17 et 13 RTFMC), mis à la charge des appelants et compensés avec l'avance versée par eux, acquise à l'Etat à due concurrence.</w:t>
      </w:r>
    </w:p>
    <w:p>
      <w:r>
        <w:t>Quant aux dépens dus à l'intimée, TVA comprise, ils seront arrêtés à 5'200 fr. (art. 95 al. 1 et 3, art 105 al. 2 et art. 96 CPC ; art. 84, 85 et 90 RTFMC). * * * * *</w:t>
      </w:r>
    </w:p>
    <w:p>
      <w:r>
        <w:t>- 10/11 -</w:t>
      </w:r>
    </w:p>
    <w:p>
      <w:r>
        <w:t>C/2682/2012 PAR CES MOTIFS, La Chambre civile : A la forme : Déclare irrecevable l'appel interjeté par B.______ SA (anciennement : C.______ SA) contre le jugement JTPI/16829/2013 rendu le 13 décembre 2013 par le Tribunal de première instance dans la cause C/2682/2012-3. Déclare recevable l'appel interjeté par A.______ contre ledit jugement. Au fond : Confirme ce jugement en rectifiant le chiffre 1 du dispositif dans le sens d'une condamnation d'A.______ à payer à D.______ la somme de 50'400 fr. (au lieu de 50'500 fr.) avec intérêts à 5% dès le 19 octobre 2010. Déboute les parties de toutes autres conclusions. Sur les frais d'appel : Arrête les frais judiciaires d'appel à 6'000 fr. Les met à la charge d'A.______ et de B.______ SA (anciennement : C.______ SA), conjointement et solidairement, et dit qu'ils sont compensés avec l'avance de 6'000 fr. versée par d'A.______ et B.______ SA (anciennement : C.______ SA), acquise à l'Etat de Genève. Condamne A.______ et B.______ SA (anciennement : C.______ SA), conjointement et solidairement, à payer à D.______ la somme de 5'200 fr. à titre de dépens d'appel. Siégeant : Monsieur Cédric-Laurent MICHEL, président; Mesdames Pauline ERARD et Paola CAMPOMAGNANI, juges; Madame Nathalie DESCHAMPS, greffière.</w:t>
      </w:r>
    </w:p>
    <w:p>
      <w:r>
        <w:t>Le président : Cédric-Laurent MICHEL</w:t>
      </w:r>
    </w:p>
    <w:p>
      <w:r>
        <w:t>La greffière : Nathalie DESCHAMPS</w:t>
      </w:r>
    </w:p>
    <w:p>
      <w:r>
        <w:t>- 11/11 -</w:t>
      </w:r>
    </w:p>
    <w:p>
      <w:r>
        <w:t>C/2682/2012</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