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ACJC/1342/2022 vom 12. Oktober 2022</w:t>
      </w:r>
    </w:p>
    <w:p>
      <w:r>
        <w:t>GE Cour de justice, 2022-10-12, FR</w:t>
      </w:r>
    </w:p>
    <w:p>
      <w:r>
        <w:rPr>
          <w:b/>
        </w:rPr>
        <w:t xml:space="preserve">Quelle: </w:t>
      </w:r>
      <w:r>
        <w:t>https://mcp.opencaselaw.ch/entscheid/ge_gerichte_ACJC_1342_2022</w:t>
      </w:r>
    </w:p>
    <w:p>
      <w:r>
        <w:t>FR: GE_GERICHTE ACJC/1342/2022 du 12 octobre 2022</w:t>
      </w:r>
    </w:p>
    <w:p>
      <w:r>
        <w:t>IT: GE_GERICHTE ACJC/1342/2022 del 12 ottobre 2022</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t>- 4/10 -</w:t>
      </w:r>
    </w:p>
    <w:p>
      <w:r>
        <w:t>C/21057/2021 En l'espèce, le recours répond à ces exigences,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w:t>
      </w:r>
    </w:p>
    <w:p>
      <w:r>
        <w:rPr>
          <w:b/>
        </w:rPr>
        <w:t>E. 1.3</w:t>
      </w:r>
    </w:p>
    <w:p>
      <w:r>
        <w:t>Les maximes des débats et de disposition s'appliquent (art. 55 al. 1, 255 let. a a contrario et 58 al. 1 CPC) et la preuve des faits allégués doit être apportée par titres (art. 254 al. 1 CPC).</w:t>
      </w:r>
    </w:p>
    <w:p>
      <w:r>
        <w:rPr>
          <w:b/>
        </w:rPr>
        <w:t>E. 2</w:t>
      </w:r>
    </w:p>
    <w:p>
      <w:r>
        <w:t>Les conclusions, les allégations de faits et les preuves nouvelles sont irrecevables (art. 326 al. 1 CPC). Ainsi, les allégations et pièces nouvelles de la recourante ne sont pas recevables et la Cour examinera la cause sur la base du dossier dont disposait le premier juge.</w:t>
      </w:r>
    </w:p>
    <w:p>
      <w:r>
        <w:rPr>
          <w:b/>
        </w:rPr>
        <w:t>E. 3.1</w:t>
      </w:r>
    </w:p>
    <w:p>
      <w:r>
        <w:t>La recourante reproche au Tribunal d'avoir retenu que sa créance en réparation du dommage était prescrite. Elle soutient que le délai de dix ans partirait à compter de la fin de l'année civile au cours de laquelle la décision était passée en force conformément à l'art. 16 al. 2 LAVS, et non à compter de l'entrée en force de la décision selon l'art. 137 al. 2 CO, de sorte qu'elle aurait agi en temps utile en initiant sa poursuite en novembre 2020. En tout état, elle aurait valablement interrompu la prescription à de nombreuses reprises, faisant partir un nouveau délai.</w:t>
      </w:r>
    </w:p>
    <w:p>
      <w:r>
        <w:rPr>
          <w:b/>
        </w:rPr>
        <w:t>E. 3.1.1</w:t>
      </w:r>
    </w:p>
    <w:p>
      <w:r>
        <w:t>Selon l'art. 80 al. 1 LP, le créancier qui est au bénéfice d'un jugement exécutoire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Les décisions en matière d'assurances sociales sont exécutoires dès qu'elles ne peuvent plus être attaquées par une opposition ou un recours (art. 54 al. 1 let. a LPGA). Si elles portent condamnation à payer une somme d'argent ou à fournir des sûretés, elles sont assimilées aux jugements exécutoires au sens de l'art. 80 LP (art. 54 al. 2 LPGA).</w:t>
      </w:r>
    </w:p>
    <w:p>
      <w:r>
        <w:rPr>
          <w:b/>
        </w:rPr>
        <w:t>E. 3.1.2</w:t>
      </w:r>
    </w:p>
    <w:p>
      <w:r>
        <w:t>L'employeur qui, intentionnellement ou par négligence grave, n'observe pas des prescriptions et cause ainsi un dommage à l'assurance, est tenu à réparation</w:t>
      </w:r>
    </w:p>
    <w:p>
      <w:r>
        <w:t>- 5/10 -</w:t>
      </w:r>
    </w:p>
    <w:p>
      <w:r>
        <w:t>C/21057/2021 (art. 52 al. 1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L'action en réparation du dommage se prescrit conformément aux dispositions du code des obligations sur les actes illicites (art. 52 al. 3 LAVS). Le droit à réparation de l'assurance selon l'art. 52 LAVS est soumis à deux délais successifs: le premier concerne la fixation de la prétention, le second l'exécution de la décision fixant définitivement la créance en dommages-intérêts (arrêts du Tribunal fédéral 5D_13/2016 du 18 mai 2016 consid. 2.3.2; 5P.456/2004 du 15 juin 2005 consid. 3.3; arrêt PS180071-O/U du 23 mai 2018 de l'Obergericht du canton de Zurich consid. 3.3). L'art. 52 al. 3 LAVS règle uniquement le délai dans lequel la créance en dommages-intérêts doit être fixée. Ce délai est conçu comme un délai de prescription. Concernant le délai d'exécution de la décision, la loi ne s'exprime pas (ATF 131 V 4 consid. 3.3 et la référence citée). Selon une jurisprudence ancienne (RCC 1991 p. 129 consid. 2c, sur la base de l'arrêt non publié H 74/85 du 14 avril 1986), l'art. 16 al. 2 LAVS - qui prévoit dans sa première phrase que la créance de cotisations fixée par décision s'éteint cinq ans après la fin de l'année civile au cours de laquelle la décision est passée en force - était applicable par analogie à l'exécution d'une créance en dommages- intérêts entrée en force selon l'art. 52 LAVS. Le Tribunal fédéral a abandonné cette pratique dans son arrêt de principe ATF 131 V 4 au profit d'une application par analogie du délai de prescription général de l'art. 137 al. 2 CO, qui prévoit un délai de dix ans en cas de reconnaissance de la dette dans un titre ou de constatation de celle-ci par un jugement (ATF 131 V 4 consid. 3.3; arrêt du Tribunal fédéral 5A_948/2018 consid. 3.1.3). Il a notamment exposé que tout délai plus court que dix ans constituerait un privilège pour le débiteur de dommages-intérêts et qu'il ne voyait pas pourquoi ce responsable fautif ne pourrait pas être poursuivi pour le dommage qu'il a causé aussi longtemps que pour toute autre créance (cf. art. 137 al. 2 CO; ATF 131 V 4 consid. 3.3). L'application analogique de l'art. 137 al. 2 CO permet par ailleurs d'unifier la réparation des dommages en droit privé et en droit de l'AVS, étant relevé que la loi sur la responsabilité, apparentée à l'art. 52 LAVS, se réfère souvent au droit privé (KNUS, Die Schadenersatzpflicht des Arbeitgebers in der AHV, Diss. Zurich 1989, p. 71 et suivantes, cité dans l'ATF 131 V 4 consid. 3.1). Le Tribunal fédéral n'a toutefois donné aucune indication explicite au sujet du dies a quo du délai de dix ans et en particulier s'il convenait, pour le déterminer, de se référer à l'art. 137 al. 2 CO, qui fixe le dies a quo au jour où le jugement est entré</w:t>
      </w:r>
    </w:p>
    <w:p>
      <w:r>
        <w:t>- 6/10 -</w:t>
      </w:r>
    </w:p>
    <w:p>
      <w:r>
        <w:t>C/21057/2021 en force de chose jugée (PICHONNAZ, in Commentaire romand, Code des obligations I, 2021, n. 4 ad art. 137 CO; DÄPPEN, in Basler Kommentar, Obligationenrecht I, 2020, n. 6 ad art. 137 CO), ou, comme le soutient la recourante, à l'art. 16 al. 2 LAVS qui prévoit que le dies a quo correspond au début de l'année civile qui suit celle au cours de laquelle la décision est passée en force. Selon la Directive sur la perception des cotisations dans l'AVS, AI et APG de l'Office fédéral des assurances sociales, les prescriptions valables pour le recouvrement de la créance de cotisations sont applicables mutatis mutandis au recouvrement de la créance en réparation du dommage entrée en force de chose jugée (chiffre 8077). Citant l'ATF 131 V 4 dans sa version publiée et non publiée, la Directive précise toutefois en son chiffre 8078 que la créance en réparation ne s'éteint que dix ans après la fin de l'année civile au cours de laquelle elle est entrée en force. Dans un arrêt AH.2017.6 du 11 octobre 2017 consid. 3.7, le Tribunal des assurances sociales du canton de Bâle-Ville a considéré qu'il fallait partir du principe que l'ATF 131 V 4 se référait uniquement à la durée du délai. Désormais, le délai à respecter à cet égard n'était plus de cinq ans par analogie avec l'art. 16 al. 2 première phrase LAVS, mais de dix ans par analogie avec l'art. 137 al. 2 CO. Compte tenu de cette jurisprudence ainsi que du fait que la réglementation du délai de péremption en relation avec la créance en dommages-intérêts se fondait sur l'art. 16 al. 2 LAVS, les phrases 2 à 5 de l'art. 16 al. 2 LAVS restaient donc applicables par analogie pour la péremption de l'exécution d'une créance en dommages-intérêts entrée en force. Dans le cas d'espèce, la décision avait été rendue le 10 novembre 2006, de sorte que le délai d'exécution de dix ans prenait fin en décembre 2016. La créance en dommages-intérêts n'était donc pas encore éteinte en raison de la procédure de poursuite pour dette initiée le 15 décembre 2016. Selon Marco REICHMUTH, si le délai de dix ans de l'art. 137 al. 2 CO est désormais applicable par analogie à l'exécution de la créance en dommages- intérêts, il s'agit toujours d'un délai de péremption contrairement à la disposition précitée, de sorte qu'il convient de continuer à observer les phrases 2 à 5 de l'art. 16 al. 2 LAVS par analogie (REICHMUTH, Die Haftung des Arbeitgebers und seiner Organe nach Art. 52 AHVG, 2008, n. 1269 s.). Dans un arrêt 5P.456/2004 du 15 juin 2005, le Tribunal fédéral a indiqué, en se référant au délai pour l'exécution de la décision en réparation du dommage au sens de l'art. 52 LAVS, que ce délai commencerait à courir dès la décision du Tribunal fédéral des assurances confirmant la décision de restitution (consid. 3.3).</w:t>
      </w:r>
    </w:p>
    <w:p>
      <w:r>
        <w:t>- 7/10 -</w:t>
      </w:r>
    </w:p>
    <w:p>
      <w:r>
        <w:t>C/21057/2021 Dans un arrêt 5A_152/2012 du 19 décembre 2022, le Tribunal fédéral, après avoir rappelé l'application analogique de l'art. 137 al. 2 CO à l'exécution des créances en réparation du dommage fondées sur l'art. 52 LAVS, l'a également appliqué par analogie en matière de créance douanière et a fait courir le délai de dix ans à compter du jour où le Tribunal fédéral avait rejeté le recours de droit administratif (consid. 4.6.2.2 et 4.6.2.3), soit à compter du jour où la décision était entrée en force, le Tribunal fédéral étant la dernière instance. Il ressort par ailleurs d'un arrêt du Tribunal administratif fédéral C-4880/2018 du</w:t>
      </w:r>
    </w:p>
    <w:p>
      <w:r>
        <w:rPr>
          <w:b/>
        </w:rPr>
        <w:t>E. 3.2</w:t>
      </w:r>
    </w:p>
    <w:p>
      <w:r>
        <w:t>En l'espèce, il n'est pas contesté que la décision du 20 mai 2010 de la recourante fixant sa créance en réparation du dommage est devenue exécutoire fin juin 2010 et vaut ainsi titre de mainlevée définitive. Est litigieuse la question de savoir si le délai de dix ans applicable à l'exécution de la décision fixant la créance en réparation du dommage court à compter de l'entrée en force de celle-ci, conformément à l'art. 137 al. 2 CO, ou, comme le soutient la recourante, dès la fin de l'année civile au cours de laquelle ladite décision est entrée en force, en application partielle de l'art. 16 al. 2 phrase 1 LAVS. Si l'ATF 131 V 4 ne répond pas explicitement à cette question, il n'y a aucune raison de penser qu'en renonçant à appliquer l'art. 16 al. 2 LAVS par analogie au profit d'une application analogique de l'art. 137 al. 2 CO, le Tribunal fédéral aurait voulu continuer à appliquer partiellement la première disposition, sans le dire expressément, et ainsi mélanger ces deux dispositions pour calculer le délai. Un tel raisonnement est peu naturel et ne repose sur aucune base juridique, de sorte qu'il porterait atteinte à la sécurité du droit. Sans autre précision et dans un esprit de cohésion, il apparait au contraire que l'application analogique de l'art. 16 al. 2 phrase 1 LAVS a été entièrement remplacée par celle de l'art. 137 al. 2 CO, de sorte que tant la durée du délai que la manière de le calculer se fondent désormais sur cette dernière disposition. Un tel raisonnement se déduit également des</w:t>
      </w:r>
    </w:p>
    <w:p>
      <w:r>
        <w:t>- 8/10 -</w:t>
      </w:r>
    </w:p>
    <w:p>
      <w:r>
        <w:t>C/21057/2021 considérants de l'ATF 131 V 4. En se référant à l'art. 137 al. 2 CO, le Tribunal fédéral a en effet retenu que le responsable du dommage devait pouvoir être poursuivi pour le dommage qu'il avait causé "aussi longtemps que pour toute autre créance" (consid. 3.4) et s'est notamment appuyé sur l'avis doctrinal de Marlies KNUS selon lequel l'application analogique de cette disposition permettait d'"unifier la réparation des dommages en droit privé et en droit de l'AVS" (consid. 3.1). Cette thèse est par ailleurs confirmée par de nombreuses jurisprudences citées ci-avant – soit deux arrêts du Tribunal fédéral, un arrêt du Tribunal fédéral des assurances ainsi que deux arrêts cantonaux – qui évoquent le remplacement de l'application analogique de l'art. 16 al. 2 LAVS par celle de l'art. 137 al. 2 CO et qui font tous partir le délai décennal de l'entrée en force de la décision dans un tel cas de figure. La recourante se prévaut en vain d'un arrêt bâlois et d'un avis doctrinal de Marco REICHMUTH mentionnés ci-avant pour soutenir que le délai de dix ans se calculerait conformément à l'art. 16 al. 2 phrase 1 LAVS. En effet, ces derniers indiquent uniquement que l'art. 16 al. 2 phrases 2 à 5 LAVS continue à s'appliquer à l'exécution de la créance en réparation, sans évoquer – à juste titre – la phrase 1 de cette disposition, cette phrase ayant été remplacée par l'application analogique de l'art. 137 al. 2 CO. La décision dans l'arrêt bâlois était par ailleurs datée du 10 novembre 2006, de sorte que l'introduction considérée en temps utile d'une poursuite le 15 décembre 2006 n'avait rien de surprenant, compte tenu du délai de notification, lequel n'est pas précisé dans l'arrêt, et d'opposition à cette décision. L'interprétation faite par l'Office fédéral des assurances sociales dans sa Directive, selon laquelle la créance en réparation ne s'éteindrait que dix ans après la fin de l'année civile au cours de laquelle elle est entrée en force, ne saurait par ailleurs prévaloir en l'espèce, au vu des éléments qui précèdent, étant précisé que cette interprétation se fonde exclusivement sur l'ATF 131 V 4 dans sa version publiée et non publiée, lequel ne retient précisément rien de tel. Enfin, il n'est pas utile de déterminer en l'espèce si le délai décennal appliqué par analogie à l'exécution de la créance en réparation doit être qualifié de délai de prescription ou de péremption, ni si les actes interruptifs de la prescription entrant en considération se fondent sur le droit public ou le droit privé. En effet, un délai de péremption ne peut être interrompu et la recourante n'a pas établi qu'elle aurait interrompu la prescription d'une quelconque manière entre l'entrée en force de la décision du 20 mai 2010 et fin juin 2020, étant rappelé que les allégations et pièces nouvelles ne sont pas recevables. Le délai d'exécution de la décision en réparation du dommage étant arrivé à échéance fin juin 2020, la poursuite introduite en novembre 2020 est tardive, de sorte que le Tribunal était fondé à rejeter la requête de mainlevée définitive de la recourante.</w:t>
      </w:r>
    </w:p>
    <w:p>
      <w:r>
        <w:t>- 9/10 -</w:t>
      </w:r>
    </w:p>
    <w:p>
      <w:r>
        <w:t>C/21057/2021 Infondé, le recours sera dès lors rejeté. 4. La recourante, qui succombe, sera condamnée aux frais du recours (art. 106 al. 1 CPC). Les frais judiciaires seront arrêtés à 750 fr. et compensés avec l'avance fournie par la recourante, acquise à l'Etat de Genève (art. 48 et 61 OELP; art. 111 al. 1 CPC). Les dépens dus à l'intimé seront fixés à 2'500 fr., débours et TVA inclus (art. 84, 85, 88, 89 et 90 RTFMC; art. 25 et 26 LaCC). * * * * *</w:t>
      </w:r>
    </w:p>
    <w:p>
      <w:r>
        <w:t>- 10/10 -</w:t>
      </w:r>
    </w:p>
    <w:p>
      <w:r>
        <w:t>C/21057/2021 PAR CES MOTIFS, La Chambre civile : A la forme : Déclare recevable le recours interjeté le 25 avril 2022 par la A______ contre le jugement JTPI/4085/2022 rendu le 30 mars 2022 par le Tribunal de première instance dans la cause C/21057/2021-7 SML. Au fond : Le rejette. Déboute les parties de toutes autres conclusions. Sur les frais : Arrête les frais judiciaires du recours à 750 fr., les met à la charge de la A______ et les compense avec l'avance de frais versée par elle, laquelle reste acquise à l'Etat de Genève. Condamne la A______ à verser 2'500 fr. à B______ à titre de dépens de recours.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août 2021 que le délai de dix ans de l'art. 137 CO appliqué par l'ATF 131 V 4 se calcule à partir de l'entrée en force de la décision, sans qu'aucune référence ne soit faite à l'art. 16 al. 2 LAVS (consid. 5). Selon la Cour des assurances sociales du Tribunal cantonal vaudois, le délai de dix ans qui ressort de l'ATF 131 V 4 n'entre en considération qu'à compter de l'entrée en force de la créance en réparation (arrêt du 8 juillet 2021 de la Cour des assurances sociales du Tribunal cantonal du canton de Vaud [AVS 40/18 – 36/2021] consid. 5a). L'Obergericht du canton de Zurich a également indiqué qu'en cas d'application par analogie de l'art. 137 al. 2 CO, le délai d'exécution commencerait à courir à partir de l'entrée en force de la décision de fixation (arrêt PS180071-O/U précité consid.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