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ACJC/1340/2021 vom 26. Oktober 2021</w:t>
      </w:r>
    </w:p>
    <w:p>
      <w:r>
        <w:t>GE Cour de justice, 2021-10-26, FR</w:t>
      </w:r>
    </w:p>
    <w:p>
      <w:r>
        <w:rPr>
          <w:b/>
        </w:rPr>
        <w:t xml:space="preserve">Quelle: </w:t>
      </w:r>
      <w:r>
        <w:t>https://mcp.opencaselaw.ch/entscheid/ge_gerichte_ACJC_1340_2021</w:t>
      </w:r>
    </w:p>
    <w:p>
      <w:r>
        <w:t>FR: GE_GERICHTE ACJC/1340/2021 du 26 octobre 2021</w:t>
      </w:r>
    </w:p>
    <w:p>
      <w:r>
        <w:t>IT: GE_GERICHTE ACJC/1340/2021 del 26 ottobre 2021</w:t>
      </w:r>
    </w:p>
    <w:p>
      <w:pPr>
        <w:pStyle w:val="Heading2"/>
      </w:pPr>
      <w:r>
        <w:t>Erwägungen</w:t>
      </w:r>
    </w:p>
    <w:p>
      <w:r>
        <w:rPr>
          <w:b/>
        </w:rPr>
        <w:t>E. 1.1</w:t>
      </w:r>
    </w:p>
    <w:p>
      <w:r>
        <w:t>L'appel est recevable contre les jugements de mesures protectrices de l'union conjugale – considérés comme des décisions provisionnelles au sens de l'art. 308 al. 1 let. b CPC (ATF 137 III 475 consid. 4.1) – dans les causes dont la valeur litigieuse est supérieure à 10'000 fr. (art. 308 al. 2 CPC). En l'espèce, la cause porte sur la contribution d'entretien de l'épouse, dont la valeur capitalisée (art. 92 al. 2 CPC) est supérieure à 10'000 fr. La voie de l'appel est dès lors ouverte. Interjetés dans le délai utile de dix jours (art. 142 al. 1 et 3, 271 let. a et 314 al. 1 CPC) et selon la forme prescrite par la loi (art. 130, 131 et 311 CPC), les appels sont recevables. Contrairement à ce que soutient l'intimée, l'appelant s'est vu distribuer le jugement querellé le 19 mai 2021, de sorte que le délai d'appel a été respecté, et son acte d'appel est correctement motivé, tant en fait qu'en droit.</w:t>
      </w:r>
    </w:p>
    <w:p>
      <w:r>
        <w:rPr>
          <w:b/>
        </w:rPr>
        <w:t>E. 1.2</w:t>
      </w:r>
    </w:p>
    <w:p>
      <w:r>
        <w:t>La Cour revoit la cause avec un plein pouvoir d'examen (art. 310 CPC). La procédure sommaire étant applicable (art. 271 let. a CPC),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Les moyens de preuve sont limités à ceux qui sont immédiatement disponibles (arrêt du Tribunal fédéral 5A_12/2013 du 8 mars 2013 consid. 2.2).</w:t>
      </w:r>
    </w:p>
    <w:p>
      <w:r>
        <w:rPr>
          <w:b/>
        </w:rPr>
        <w:t>E. 1.3</w:t>
      </w:r>
    </w:p>
    <w:p>
      <w:r>
        <w:t>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procédure est régie par les maximes de disposition (art. 58 al. 1 CPC) et inquisitoire simple (art. 55 al. 2 et 272 CPC), laquelle n'oblige pas le juge à rechercher les faits d'office. Il incombe en effet aux parties de le renseigner sur les faits de la cause et de lui indiquer les moyens de preuve disponibles (arrêts du Tribunal fédéral 5A_374/2020 du 22 octobre 2020 consid. 6.2; 5A_855/2017 du 11 avril 2018 consid. 4.3.2).</w:t>
      </w:r>
    </w:p>
    <w:p>
      <w:r>
        <w:rPr>
          <w:b/>
        </w:rPr>
        <w:t>E. 1.5</w:t>
      </w:r>
    </w:p>
    <w:p>
      <w:r>
        <w:t>Les appels seront traités dans un seul arrêt. L'époux sera désigné en qualité d'appelant et l'épouse en qualité d'intimée.</w:t>
      </w:r>
    </w:p>
    <w:p>
      <w:r>
        <w:rPr>
          <w:b/>
        </w:rPr>
        <w:t>E. 2</w:t>
      </w:r>
    </w:p>
    <w:p>
      <w:r>
        <w:t>Le Tribunal a retenu que les revenus effectifs réalisés par l'appelant du fait de l'identité économique entre ses sociétés et lui ne pouvaient être établis, faute pour celui-ci d'avoir produit les documents comptables attestant du bénéfice net de</w:t>
      </w:r>
    </w:p>
    <w:p>
      <w:r>
        <w:t>- 9/21 -</w:t>
      </w:r>
    </w:p>
    <w:p>
      <w:r>
        <w:t>C/24084/2020 celles-ci calculé sur les trois dernières années. En raison de son absence de collaboration à l'administration des preuves, il se justifiait de retenir qu'il bénéficiait, en sus du salaire déclaré de LA L______ et de celui de C______ SARL, d'un revenu mensuel net de 1'800 fr. au titre de son activité pour D______ SARL. Il percevait en outre le revenu locatif de 1'161 fr. de l'appartement de I______ (1'450 fr. – intérêts et amortissements liés à la dette hypothécaire en 288 fr.) et celui de 103 fr. de l'arcade de K______ (841 fr. – 738 fr.). Le Tribunal a ainsi arrêté ses revenus mensuels nets à 10'254 fr. Le premier juge a fixé les charges mensuelles de l'appelant à 5'729 fr., comprenant la moitié du montant de base OP pour un couple avec enfant réduit de 15% en raison du coût de la vie inférieur en France (722 fr.), ses frais de logement à H______ (2'843 fr. dont 1'469 EUR à titre de la dette hypothécaire, des taxes d'habitation et foncière et du gaz), sa prime LaMal (377 fr.) et sa charge fiscale (1'785 fr.). Il a pour le surplus écarté les charges alléguées, notamment celles de copropriété de l'appartement de I______ faute de vraisemblance, l'assurance du véhicule faute de nécessité, la dette d'impôts 2018 faute de paiement effectif et régulier, seule la charge fiscale courante pouvant au demeurant être prise en compte, et les charges relatives au bien situé au Portugal faute de faire partie du minimum vital du droit des poursuites et du minimum vital élargi du droit de la famille, en raison de la situation financière défavorable des parties. Par ailleurs, le Tribunal a renoncé à imputer en l'état un revenu hypothétique à l'intimée, au vu de son âge et de son état de santé. Il a arrêté ses charges mensuelles à 3'057 fr., comprenant le montant de base OP (1'200 fr.), des frais de logement estimés (1'300 fr. selon le tableau T 05.04.2.02 de l'Office cantonal de la statistique (OCSTAT), aux termes duquel le loyer mensuel moyen d'un logement de trois pièces à loyer libre loué à de nouveaux locataires était de 1'186 fr., auquel il convenait d'ajouter 100 fr. par mois pour le chauffage), la prime LaMal (487 fr.) et les frais de déplacement (70 fr. pour un abonnement TPG). Il a pour le surplus écarté les charges alléguées, notamment les frais médicaux non remboursés faute de récurrence et la prime d'assurance-maladie complémentaire en raison de la situation financière défavorable des parties. Le Tribunal a retenu que les charges mensuelles de G______ se montaient à la moitié du montant de base OP réduit de 15% (170 fr.) et la moitié de la prime LaMal (59 fr. 50), soit à 229 fr. Les charges de F______ ont été écartées, faute pour les charges de l'enfant majeur d'être incluses dans le minimum vital du droit des poursuites, celles-ci devant, en tout état, céder le pas aux contributions entre époux. Le premier juge a conclu qu'après acquittement des charges de l'intimée, de ses charges personnelles et de celles de G______, le solde disponible de l'appelant s'élevait à 1'239 fr. L'intimée pouvait prétendre à 2/5ème de cet excédent (495 fr.),</w:t>
      </w:r>
    </w:p>
    <w:p>
      <w:r>
        <w:t>- 10/21 -</w:t>
      </w:r>
    </w:p>
    <w:p>
      <w:r>
        <w:t>C/24084/2020 compte tenu du fait que l'appelant était le père d'une enfant mineure, soit à 3'550 fr. (3'057 fr. + 495 fr.). Les parties font grief au Tribunal d'avoir retenu de façon arbitraire que l'appelant réalisait un revenu de 1'800 fr. au titre de son activité au sein de D______ SARL. L'appelant reproche également au premier juge de ne pas avoir imputé un revenu hypothétique à son épouse. Par ailleurs, il lui fait grief d'avoir tenu compte uniquement de la moitié de son montant de base OP, de celui de G______ et de la prime d'assurance-maladie de celle-ci ainsi que d'avoir réduit de 15% son montant de base OP et celui de G______. Il lui reproche enfin de ne pas avoir pris en considération les charges de copropriété de l'appartement de I______, les frais d'assurance de son véhicule, sa dette d'impôts, les charges liées aux biens situés au Portugal et le loyer de F______. L'intimée fait grief au Tribunal d'avoir mal estimé son loyer hypothétique, écarté ses frais médicaux non remboursés et son assurance-maladie complémentaire ainsi qu'omis de tenir compte de sa charge fiscale. 2.1.1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(ATF 137 III 385 consid. 3.1; arrêt du Tribunal fédéral 5A_864/2018 du 23 mai 2019 consid. 2.1). Les contributions pécuniaires fixées dans le cadre de mesures protectrices de l'union conjugale peuvent être réclamées pour l'avenir et pour l'année qui précède l'introduction de la requête (ATF 115 II 201; arrêt du Tribunal fédéral 5A_765/2010 du 17 mars 2011 consid. 4.2). 2.1.2 Dans trois arrêts récents destinés à la publication (5A_311/2019 du 11 novembre 2020, SJ 2021 I 316; 5A_891/2018 du 2 février 2021 et 5A_800/2019 du 9 février 2021), le Tribunal fédéral a posé, pour toute la Suisse, une méthode de calcul uniforme des contributions d'entretien du droit de la famille. Selon cette méthode en deux étapes avec répartition de l’excédent, on examine les ressources et besoins des personnes intéressées, puis les ressources sont réparties d’une manière correspondant aux besoins des ayants droits selon un certain ordre (consid. 7 du premier arrêt précité).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w:t>
      </w:r>
    </w:p>
    <w:p>
      <w:r>
        <w:t>- 11/21 -</w:t>
      </w:r>
    </w:p>
    <w:p>
      <w:r>
        <w:t>C/24084/2020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La pension alimentaire des enfants majeurs est limitée au maximum à la couverture du minimum vital prévu par le droit de la famille (y compris les frais d'éducation) (consid. 7.2 et 7.3). La répartition par "grandes et petites têtes", soit par adultes et enfants mineurs s’impose comme nouvelle règle, en tenant compte à ce stade de toutes les particularités du cas d'espèce. La part d'épargne réalisée et prouvée doit être retranchée de l'excédent (consid. 7.3). 2.1.3 Pour fixer la contribution d'entretien, le juge doit en principe tenir compte du revenu effectif des parties (ATF 137 III 118 consid. 2.3). Le juge peut également imputer aux parties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non publié aux ATF 137 III 604, mais in FamPra.ch 2012, p. 228).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w:t>
      </w:r>
    </w:p>
    <w:p>
      <w:r>
        <w:t>- 12/21 -</w:t>
      </w:r>
    </w:p>
    <w:p>
      <w:r>
        <w:t>C/24084/2020 26 mars 2010 consid. 3). En outre, le juge ne peut se fonder sur un certificat médical indiquant sans autres une incapacité de durée indéterminée, alors que la contribution s'inscrit dans la durée (ATF 127 III 68 consid. 3; BASTONS BULLETI, L'entretien après divorce: méthodes de calcul, montant, durée et limites, in SJ 2007 II, p. 97, plus particulièrement la note de bas de page 113).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w:t>
      </w:r>
    </w:p>
    <w:p>
      <w:r>
        <w:t>2.1.4 L’entretien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D'autres charges indispensables, comme les frais de logement et les primes d'assurance-maladie obligatoire doivent être ajoutées à cette base mensuelle d'entretien.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(RS/GE E 3 60.04).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Une réduction de 15% pour un débiteur résidant en France est en général retenue (cf. par exemple ACJC/307/2021 du 9 mars 2021 consid. 3.2.2; ACJC/621/2020 du 12 mai 2020 consid. 6.3.2; OCHSNER, Le minimum vital (art. 93 al. 1 LP), in SJ 2012 II 135). 2.1.5 Aux termes du tableau T 05.04.2.02 de l'OCSTAT intitulé "Loyer mensuel moyen des logements, selon le nombre de pièces, la nature du logement et le statut du bail", sur lequel s'est fondé le Tribunal, le loyer hors charges d'un logement de trois pièces à loyer libre loué à de nouveaux locataires s'élève à 1'529 fr. par mois.</w:t>
      </w:r>
    </w:p>
    <w:p>
      <w:r>
        <w:t>- 13/21 -</w:t>
      </w:r>
    </w:p>
    <w:p>
      <w:r>
        <w:t>C/24084/2020 2.1.6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2.1.7 Lorsqu'une personne salariée est aussi le détenteur économique de l'entité qui l'emploie (SA, Sàrl, personne morale), par sa position d'actionnaire unique ou dominante, le juge ajoute au salaire les revenus effectifs réalisés du fait de l'identité économique et applique alors les règles relatives aux indépendants. Notamment, en vertu du principe de la transparence, sera comptabilisé à titre de revenu un "pseudo" prêt concédé sans intérêt par la société à son actionnaire (arrêt du Tribunal fédéral 5A_696/2011 du 28 juin 2012 consid. 4.1.3). Le juge prendra en compte le bénéfice net de la Sàrl dont l'un des époux est propriétaire. Le revenu de l'indépendant correspond au bénéfice net de son activité soit la différence entre les produits et les charges; il se calcule en fonction du résultat d'exploitation sur plusieurs années. En général trois exercices permettent de dégager un revenu représentatif (DE WECK-IMMELE, CPra Matrimonial, 2016, n° 49 ss ad art. 176 CC). Selon la théorie de la transparence,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CC) (ATF 132 III 489 consid. 3.2; arrêts du Tribunal fédéral 9C_782/2014 du 25 août 2015 consid. 6.3.2; 5A_739/2012 du 17 mai 2013 consid. 7.2.1 et 4A_417/2011 du 30 novembre 2011 consid. 2.3). 2.1.8 Selon l'art. 170 al. 1 CC, chaque époux peut demander à son conjoint qu'il le renseigne sur ses revenus, ses biens et ses dettes. Les règles de la bonne foi (art. 2 CC et art. 52 CPC) obligent la partie adverse à coopérer à la procédure probatoire (ATF 119 II 305 consid. 1b/aa). A teneur de l'art. 164 CPC, si une partie refuse de collaborer sans motif valable, le tribunal en tient compte lors de l'appréciation des preuves. La maxime inquisitoire sociale n'oblige certes pas le juge à instruire d'office le litige lorsqu'un plaideur renonce à expliquer sa position; en revanche, elle le</w:t>
      </w:r>
    </w:p>
    <w:p>
      <w:r>
        <w:t>- 14/21 -</w:t>
      </w:r>
    </w:p>
    <w:p>
      <w:r>
        <w:t>C/24084/2020 contraint à interroger les parties et à les informer de leur devoir de collaborer à l'instruction et de fournir des preuves (ATF 139 III 13 consid. 3.2). Toutefois, lorsque les parties sont représentées par un avocat, le tribunal peut et doit faire preuve de retenue, comme dans un procès soumis à la procédure ordinaire (ATF 141 III 569 consid. 2.3). 2.2.1 En l'espèce, le Tribunal a retenu à juste titre qu'il existait une identité économique entre l'appelant et les sociétés C______ SARL et D______ SARL dont il est associé gérant. Il ressort des pièces que celui-ci a produites et de ses déclarations que ces entités sont un instrument dans ses mains et que leur patrimoine se confond avec le sien. L'appelant a en particulier lui-même affirmé payer les dettes hypothécaires des époux et le loyer du logement du 2______ à J______, qu'il désigne comme étant son domicile, au moyen des fonds des sociétés qu'il dirige. Le fait que l'appelant ait allégué qu'il s'agisse de prêts de la société n'est pas déterminant car, dans un tel cas, les montants en cause doivent, selon la jurisprudence, être comptabilisés au titre de revenu de l'animateur de la société. La confusion des patrimoines de l'appelant et de ses sociétés ressort également du fait que non seulement le loyer de son logement de J______ est payé par C______ SARL, mais que le bail est en outre au nom de cette dernière, laquelle a son siège à K______. A cela s'ajoute que, l'adresse figurant au Registre du commerce pour D______ SARL est précisément le 2______, à J______. Le loyer du dépôt dans lequel l'appelant a stocké les affaires de l'intimée est par ailleurs payé par la société C______ SARL. L'appelant n'a en outre fourni aucune explication sur les raisons pour lesquelles il percevait, sur son compte personnel auprès de P______, des revenus provenant de la sous-location d'une arcade commerciale à une société M______ SARL, étant précisé que le loyer est débité d'un autre compte privé à son nom auprès du O______. Le fait que les sociétés soient formellement détenues pour moitié par l'intimée n'y change rien. Il a été rendu vraisemblable que celle-ci est exclue de leur gestion et n'a accès ni à leur patrimoine, ni à leur comptabilité. Si tel était le cas, l'intimée n'aurait en particulier pas eu besoin de déposer une demande par-devant le Tribunal des Prud'hommes pour obtenir de D______ SARL les arriérés de salaire auquel elle estime avoir droit. A cela s'ajoute que l'intimée a allégué, sans que cela ne soit contesté par l'appelant, ne pas avoir accès au dépôt loué par C______ SARL dans lequel celui-ci a stocké ses affaires, de sorte qu'elle a été contrainte de se racheter des habits et autres biens de première nécessité.</w:t>
      </w:r>
    </w:p>
    <w:p>
      <w:r>
        <w:t>- 15/21 -</w:t>
      </w:r>
    </w:p>
    <w:p>
      <w:r>
        <w:t>C/24084/2020 Contrairement à ce que fait valoir l'appelant, il n'y a ainsi pas lieu de considérer que l'intimée et les deux sociétés des parties forment une identité économique. Le premier juge a par ailleurs retenu avec raison un refus de l'appelant de collaborer à l'administration des preuves. L'intimée a allégué dans sa requête que son époux tirait des revenus non déclarés de leurs sociétés. L'appelant a confirmé, par ses déclarations et les pièces qu'il a produites, que faute de revenus personnels suffisants, il puisait dans les comptes des sociétés et que certaines de ses charges étaient acquittées par celles-ci, soit le loyer de son domicile de J______ et les charges hypothécaires des biens des époux, éléments qui ressortaient de la comptabilité des sociétés. Cela étant, alors que le Tribunal lui avait enjoint de produire les pièces nécessaires à établir sa situation financière et que sa partie adverse y avait conclu dans sa requête, il n'a produit aucun document relatif aux sociétés C______ SARL et D______ SARL. Les pièces produites attestent en outre de ce que l'appelant a plusieurs comptes bancaires, tant en Suisse qu'à l'étranger; il n'a cependant fourni aucun document permettant de déterminer l'étendue de sa fortune mobilière. Le fait que l'injonction du Tribunal ait été formulée en termes généraux, sans énumération individuelle des pièces à produire, n'empêche pas de conclure à un refus de collaborer. Au vu des allégations précises de l'intimée, l'appelant, assisté d'un avocat, pouvait et devait comprendre que la production des pièces relatives à la situation financière des deux sociétés qu'il exploite, notamment des pièces comptables, était nécessaire pour établir l'ampleur de leurs fonds dont l'appelant a admis bénéficier, en particulier par le biais des comptes associés. Il ne pouvait non plus ignorer son obligation de fournir les relevés de ses comptes bancaires permettant de déterminer sa fortune mobilière. Contrairement à ce que soutient l'appelant, en l'interrogeant lors de l'audience de comparution personnelle du 23 février 2021 et en attirant son attention sur le fait qu'il serait tenu compte d'un défaut de collaboration lors de l'appréciation des preuves, le Tribunal a satisfait aux obligations prescrites par la maxime inquisitoire sociale. L'appelant fait valoir en vain qu'un refus de collaborer de la part de l'intimée aurait tout aussi bien pu être retenu. Contrairement à l'intimée, il n'a pas formulé d'allégations concrètes sur la situation financière de celle-ci et n'a pas requis la production de pièces de sa part devant le Tribunal. Il ressort de plus du relevé du compte bancaire de l'intimée auprès de la banque Q______ au Portugal, produit par l'appelant, que les relevés bancaires relatifs à ce compte, pourtant au nom de l'intimée, sont adressées à l'appelant. Les allégations de l'intimée selon lesquelles elle a été tenu à l'écart des finances du couple et ne dispose d'aucune pièce comptable concernant les sociétés C______ SARL et D______ SARL sont ainsi, à ce stade, rendues vraisemblables.</w:t>
      </w:r>
    </w:p>
    <w:p>
      <w:r>
        <w:t>- 16/21 -</w:t>
      </w:r>
    </w:p>
    <w:p>
      <w:r>
        <w:t>C/24084/2020 En revanche, les parties font à bon droit grief au Tribunal d'avoir tiré comme conséquence de ce refus de collaborer de l'appelant un revenu de 1'800 fr. généré en faveur de celui-ci dans le cadre de D______ SARL. En raison de l'absence de collaboration de l'appelant, qui n'a pas produit les documents permettant d'avoir une vision complète de ses revenus, y compris ceux générés par ses deux sociétés, aucun élément au dossier ne permet d'estimer l'étendue des revenus réels dont bénéficie l'appelant. Les allégations de l'appelant relatives à ses revenus ne sont pas crédibles car il n'est pas vraisemblable que le salaire de 7'200 fr. environ qu'il allègue toucher, même ajouté aux revenu de l'intimée, de 5'400 fr. environ qu'elle percevait de D______ SARL avant la séparation des parties, ait été suffisant pour permettre aux époux de couvrir leurs charges, ainsi que celles de leur fille et d'acquérir en outre cinq biens immobiliers. Dans ces circonstances, il se justifie de s'en tenir aux allégations de l'intimée et de retenir que l'appelant touche vraisemblablement un revenu mensuel net de 15'000 fr., au titre de son salaire versé par LA L______, des montants perçus de C______ SARL et D______ SARL et de ses revenus locatifs. 2.2.2 S'agissant des charges de l'appelant, le Tribunal a tenu compte de la moitié du montant de base OP, ce qui est conforme aux normes d'insaisissabilité. La réduction de 15% de ce montant en raison du coût la vie inférieur en France est par ailleurs conforme à la jurisprudence. Dans la mesure où le précité demeure à H______ et travaille en Suisse, c'est en revanche à tort que le premier juge a retenu qu'un véhicule ne lui était pas nécessaire, avec pour conséquence que tous frais de transports ont été écartés. Par souci d'équité, il se justifie de prendre en considération à ce titre un montant au moins équivalent à celui retenu dans le budget de l'intimée (70 fr.). Compte tenu de la situation financière favorable de la famille, un montant de 2'171 fr. par mois peut en outre être retenu au titre d'amortissement raisonnable de la dette d'impôts des époux que l'appelant s'est engagé à acquitter (26'061 fr. sur une année). Il en va de même des charges et intérêts hypothécaires du bien situé au Portugal à hauteur de 847 fr. par mois, étant relevé que les charges d'impôts alléguées en lien avec ce bien n'ont pour leur part pas été rendues vraisemblables. Faute de griefs développés pour le surplus par les parties, les charges mensuelles de l'appelant seront donc arrêtées à 8'820 fr., comprenant 722 fr. de montant de base OP (850 fr. [1'700 fr. / 2] – 15% de 850 fr.), ses frais de logement à H______ (2'843 fr.), sa prime LaMal (377 fr.), sa charge fiscale (1'785 fr.), l'amortissement de la dette d'impôts des parties (2'171 fr.), ses frais de transport (70 fr.) et les charges du bien situé au Portugal (847 fr.). 2.2.3 Le Tribunal a avec raison renoncé à imputer un revenu hypothétique à l'intimée depuis avril 2021, date dès laquelle elle s'est retrouvée sans ressources. Rien ne justifie de s'écarter des attestations et du certificat médicaux produits. Les</w:t>
      </w:r>
    </w:p>
    <w:p>
      <w:r>
        <w:t>- 17/21 -</w:t>
      </w:r>
    </w:p>
    <w:p>
      <w:r>
        <w:t>C/24084/2020 premières sont détaillées. Elles exposent les troubles à la santé, contiennent un diagnostic et tirent un lien entre ces troubles et l'incapacité de travail. L'intimée a par ailleurs reçu des indemnités journalières de l'assurance en lien avec dite incapacité pendant deux ans, ce qui confirme son caractère avéré et de longue durée. Dans ces circonstances, le fait que l'intimée n'a pas recherché un emploi ne peut lui être reproché. Par ailleurs, le fait qu'elle n'a pas démontré un refus de l'assurance invalidité de lui octroyer une rente n'empêche pas de tenir pour vraisemblable une incapacité de travailler le temps de la durée, par essence provisoire, des présentes mesures protectrices de l'union conjugales, étant rappelé que la séparation des parties est intervenue en septembre 2019. Lors de l'audience de février 2021, avant que la cause ait été gardée à juger, l'intimée a indiqué se trouver toujours en incapacité de travail et faire parvenir régulièrement à l'assurance les certificats médicaux attestant de la prolongation de celle-ci. 2.2.4 Pour ce qui est des charges de la précitée, dans la mesure où la situation financière globale de la famille le permet, il sera tenu compte de l'assurance- maladie complémentaire à hauteur de 5 fr. par mois, comme il ressort de la pièce produite. Il en sera de même de la charge fiscale, qui sera estimée une fois la pension arrêtée. Par ailleurs, l'intimée soutient avec raison que ses frais de loyer doivent être estimés à 1'600 fr. par mois, y compris 100 fr. par mois pour le chauffage, au vu du tableau de l'OCSTAT sur lequel le Tribunal s'est fondé sans être critiqué par les parties (1'529 fr. hors charges de chauffage). L'intimée fait valoir avec raison encore qu'au vu du relevé annuel qu'elle produit, la récurrence de ses frais médicaux non couverts a été rendue vraisemblable, de sorte que le montant de 70 fr. qu'elle invoque à ce titre sera retenu. Faute de griefs développés pour le surplus par les parties, les charges mensuelles de l'intimée, hors impôts, seront donc arrêtées, à ce stade du raisonnement, à 3'430 fr., comprenant son montant de base OP (1'200 fr.), ses frais de logement estimés (1'600 fr.), sa prime LaMal (487 fr.), sa prime d'assurance-maladie complémentaire (5 fr.), ses frais médicaux non remboursés (70 fr.) et ses frais de déplacement (70 fr.). 2.2.5 Le premier juge a réduit à tort de moitié le montant de base OP et la prime d'assurance-maladie de G______, qui n'est pas entrée à l'école et dont la mère ne travaille pas, ce qui n'est pas contesté par l'intimée. A l'instar de ce qui a été exposé s'agissant de l'appelant, la réduction de 15% du montant de base OP de l'enfant est en revanche conforme à la jurisprudence. Faute de griefs pour le surplus, les charges mensuelles de G______ seront ainsi arrêtées à 460 fr., comprenant 340 fr. (400 fr. – 15% de 400 fr.) de montant de base OP et 118 fr. d'assurance-maladie obligatoire. 2.2.6 Les charges mensuelles de F______ seront arrêtées à 1'000 fr. de loyer (935 EUR) rendu vraisemblable par le contrat de bail et le relevé bancaire produit.</w:t>
      </w:r>
    </w:p>
    <w:p>
      <w:r>
        <w:t>- 18/21 -</w:t>
      </w:r>
    </w:p>
    <w:p>
      <w:r>
        <w:t>C/24084/2020</w:t>
      </w:r>
    </w:p>
    <w:p>
      <w:r>
        <w:rPr>
          <w:b/>
        </w:rPr>
        <w:t>E. 2.3</w:t>
      </w:r>
    </w:p>
    <w:p>
      <w:r>
        <w:t>Il résulte des considérations qui précèdent que l'appelant dispose de 15'000 fr. de revenus par mois pour des charges de 8'820 fr., de sorte qu'il bénéficie d'un disponible de 6'180 fr. L'intimée est dépourvue de ressources depuis avril 2021 pour des besoins évalués à 3'430 fr. G______ subit un déficit de 460 fr., tandis que F______ subit un déficit de 1'000 fr.</w:t>
      </w:r>
    </w:p>
    <w:p>
      <w:r>
        <w:t>S’il reste, comme en l'espèce, un excédent après couverture du minimum vital de droit de la famille des parents et enfants mineurs, il convient de l'allouer à l’entretien de l’enfant majeur, limité à la couverture du minimum vital prévu par le droit de la famille. Partant, la charge de loyer de F______ que fait valoir l'appelant doit être prise en compte, après quoi l'excédent de la famille qui subsiste encore se monte à 1'290 fr. (15'000 fr. – 8'820 fr. – 3'430 fr. – 460 fr. – 1'000 fr.). Ce montant est à répartir en équité entre les ayants droits (les parents et l'enfant mineur), soit à hauteur de 2/5ème pour l'intimée (500 fr.), comme l'a retenu le Tribunal sans être critiqué par les parties. La contribution d'entretien à laquelle a droit l'intimée se monte ainsi à 3'930 fr. par mois (3'430 fr. + 500 fr.), hors charge fiscale. Celle-ci peut être estimée, au moyen de la calculette disponible sur le site internet de l'Administration fiscale genevoise, à 400 fr. par mois, en tenant compte d'un domicile en ville de Genève, de son statut de conjoint séparé sans enfant à charge, de la pension précitée, des primes d'assurance-maladie versées ainsi que des frais médicaux encourus. Il se justifie en conséquence de fixer la contribution d'entretien à 4'300 fr. par mois à compter du 1er avril 2021 (3'930 fr. + 400 fr.). Le dies a quo auquel conclut l'intimée, sans développer de griefs, n'est pas fondé. Il correspond à la date du dépôt de sa requête, le 26 novembre 2020, alors qu'elle a disposé jusqu'au 1er avril 2021 de ressources suffisantes à couvrir ses charges. Partant, le chiffre 3 du dispositif du jugement sera modifié dans cette mesure.</w:t>
      </w:r>
    </w:p>
    <w:p>
      <w:r>
        <w:rPr>
          <w:b/>
        </w:rPr>
        <w:t>E. 3</w:t>
      </w:r>
    </w:p>
    <w:p>
      <w:r>
        <w:t>Compte tenu du fait qu'il a été tenu compte ci-dessus d'un montant de 15'000 fr. au titre des revenus de l'appelant, conformément aux allégations de l'intimée, il n'est pas nécessaire de statuer sur les conclusions en production de pièces prises par l'intimée devant la Cour.</w:t>
      </w:r>
    </w:p>
    <w:p>
      <w:r>
        <w:rPr>
          <w:b/>
        </w:rPr>
        <w:t>E. 4</w:t>
      </w:r>
    </w:p>
    <w:p>
      <w:r>
        <w:t>L'intimée sollicite une provisio ad litem de 15'000 fr. pour la procédure d'appel.</w:t>
      </w:r>
    </w:p>
    <w:p>
      <w:r>
        <w:t>4.1.1 L'obligation d'une partie de faire à l'autre l'avance des frais du procès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Dans le cadre d'une procédure de mesures protectrices,</w:t>
      </w:r>
    </w:p>
    <w:p>
      <w:r>
        <w:t>- 19/21 -</w:t>
      </w:r>
    </w:p>
    <w:p>
      <w:r>
        <w:t>C/24084/2020 la requête de provisio ad litem ne perd pas son objet, bien que la procédure soit achevée, si des frais de procédure sont mis la charge de la partie qui a sollicité la provisio ad litem et que les dépens sont compensés (arrêt du Tribunal fédéral 5A_590/2019 du 13 février 2020 consid. 3.3 et 3.5). 4.1.2 Lorsque la Cour statue à nouveau, elle se prononce sur les frais fixés par le Tribunal de première instance (art. 318 al. 3 CPC). En principe, les frais sont mis à la charge de la partie succombante (art. 106 al. 1 1ère phrase CPC).</w:t>
      </w:r>
    </w:p>
    <w:p>
      <w:r>
        <w:rPr>
          <w:b/>
        </w:rPr>
        <w:t>E. 4.2</w:t>
      </w:r>
    </w:p>
    <w:p>
      <w:r>
        <w:t>Il n'y a pas lieu de revenir sur la quotité et la répartition des frais de première instance arrêtées par le Tribunal conformément à la loi, au vu de la nature familiale du litige (art. 107 al. 1 let. c CPC).</w:t>
      </w:r>
    </w:p>
    <w:p>
      <w:r>
        <w:t>4.3.1 Les frais judiciaires des appels seront arrêtés à 1'200 fr. chacun (art. 96, 104 al. 1 et 105 al. 1 CPC; art. 26, 31 et 35 RTFMC). Ils seront mis à la charge de l'appelant qui succombe pour l'essentiel et compensés partiellement avec l'avance de 1'200 fr. fournie par celui-ci, laquelle reste acquise à l'Etat de Genève (art. 111 al. 1 CPC). L'appelant sera en conséquence condamné à verser le solde de 1'200 fr. à l'Etat de Genève. Il sera condamné également à verser 3'000 fr. à l'intimée à titre de dépens d'appel, débours et TVA compris (art. 106 al. 1 CPC; art. 84, 86, 88 et 90 RTFMC; art. 25 et 26 LaCC). 4.3.2 Partant, la requête de l'intimée tendant au versement d'une provisio ad litem n'a plus de raison d'être et sera rejetée. * * * * *</w:t>
      </w:r>
    </w:p>
    <w:p>
      <w:r>
        <w:t>- 20/21 -</w:t>
      </w:r>
    </w:p>
    <w:p>
      <w:r>
        <w:t>C/24084/2020 PAR CES MOTIFS, La Chambre civile : A la forme : Déclare recevables les appels interjetés le 21 mai 2021 par B______ et le 31 mai 2021 par A______ contre le jugement JTPI/6088/2021 rendu le 10 mai 2021 par le Tribunal de première instance dans la cause C/24084/2020-9. Au fond : Annule le chiffre 3 du dispositif de ce jugement et, statuant à nouveau : Condamne A______ à verser à B______, par mois et d'avance, à titre de contribution d'entretien, la somme de 4'300 fr. dès le 1er avril 2021. Confirme le jugement entrepris pour le surplus. Déboute les parties de toutes autres conclusions. Sur les frais : Arrête les frais judiciaires des appels à 1'200 fr. chacun, les met à la charge de A______ et les compense partiellement avec l'avance fournie par celui-ci, laquelle reste acquise à l'Etat de Genève. Condamne A______ à payer 1'200 fr. à l'Etat de Genève, soit pour lui les Services financiers du Pouvoir judiciaire, à titre de frais judiciaires d'appel. Condamne A______ à payer 3'000 fr. à B______ à titre de dépens d'appel. Siégeant : Monsieur Laurent RIEBEN, président; Monsieur Patrick CHENAUX, Madame Fabienne GEISINGER-MARIETHOZ, juges; Madame Roxane DUCOMMUN, greffière. Le président : Laurent RIEBEN</w:t>
      </w:r>
    </w:p>
    <w:p>
      <w:r>
        <w:t>La greffière : Roxane DUCOMMUN</w:t>
      </w:r>
    </w:p>
    <w:p>
      <w:r>
        <w:t>- 21/21 -</w:t>
      </w:r>
    </w:p>
    <w:p>
      <w:r>
        <w:t>C/24084/2020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