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ACJC/1340/2017 vom 19. Juni 2017</w:t>
      </w:r>
    </w:p>
    <w:p>
      <w:r>
        <w:t>GE Cour de justice, 2017-06-19, FR</w:t>
      </w:r>
    </w:p>
    <w:p>
      <w:r>
        <w:rPr>
          <w:b/>
        </w:rPr>
        <w:t xml:space="preserve">Quelle: </w:t>
      </w:r>
      <w:r>
        <w:t>https://mcp.opencaselaw.ch/entscheid/ge_gerichte_ACJC_1340_2017</w:t>
      </w:r>
    </w:p>
    <w:p>
      <w:r>
        <w:t>FR: GE_GERICHTE ACJC/1340/2017 du 19 juin 2017</w:t>
      </w:r>
    </w:p>
    <w:p>
      <w:r>
        <w:t>IT: GE_GERICHTE ACJC/1340/2017 del 19 giugno 2017</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L'art. 147 al. 1 et 2 CPC prévoit qu'une partie est défaillante lorsqu'elle omet d'accomplir un acte de procédure dans le délai prescrit ou ne se présente pas lorsqu'elle est citée à comparaître. La procédure suit son cours sans qu'il ne soit tenu compte du défaut, à moins que la loi n'en dispose autrement. Le défaillant ne peut faire valoir, dans son recours, que des griefs liés aux prescriptions sur les conséquences du défaut, aux citations et convocations (WILLISEGGER, Commentaire bâlois, 2ème éd. 2013, n. 30 ad art. 234 CPC).</w:t>
      </w:r>
    </w:p>
    <w:p>
      <w:r>
        <w:t>- 5/9 -</w:t>
      </w:r>
    </w:p>
    <w:p>
      <w:r>
        <w:t>C/2865/2016</w:t>
      </w:r>
    </w:p>
    <w:p>
      <w:r>
        <w:rPr>
          <w:b/>
        </w:rPr>
        <w:t>E. 1.3</w:t>
      </w:r>
    </w:p>
    <w:p>
      <w:r>
        <w:t>En l'occurrence, les recourants n'ont pas déposé de détermination devant le premier juge, ni pris de conclusions. La procédure a dès lors suivi son cours. Il s'ensuit que les recourants sont limités, dans leur recours, à faire valoir des griefs liés aux prescriptions sur les conséquences du défaut, étant précisé qu'ils ne s'en prennent ni aux citations ni aux convocations du Tribunal. Sous cette réserve, leur recours, formé dans le délai et la forme prévus par la loi, est recevable.</w:t>
      </w:r>
    </w:p>
    <w:p>
      <w:r>
        <w:rPr>
          <w:b/>
        </w:rPr>
        <w:t>E. 2</w:t>
      </w:r>
    </w:p>
    <w:p>
      <w:r>
        <w:t>Les conclusions, les allégations de faits et les preuves nouvelles sont irrecevables (art. 326 CPC).</w:t>
      </w:r>
    </w:p>
    <w:p>
      <w:r>
        <w:t>Les faits allégués nouvellement par les recourants, de même que les pièces nouvelles qu'ils déposent, ne sont pas recevables.</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rPr>
          <w:b/>
        </w:rPr>
        <w:t>E. 3.2</w:t>
      </w:r>
    </w:p>
    <w:p>
      <w:r>
        <w:t>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(art. 67 al. 2 LP). soit le cas échéant le nom du tiers qui a constitué le gage ou qui en est devenu propriétaire (art. 151 al. 1 let. a LP).</w:t>
      </w:r>
    </w:p>
    <w:p>
      <w:r>
        <w:t>- 6/9 -</w:t>
      </w:r>
    </w:p>
    <w:p>
      <w:r>
        <w:t>C/2865/2016</w:t>
      </w:r>
    </w:p>
    <w:p>
      <w:r>
        <w:t>Un exemplaire du commandement de payer, dans la poursuite en réalisation de gage, est notifié au tiers qui a constitué le gage ou en est devenu propriétaire. Le tiers peut former opposition au même titre que le débiteur (art. 153 al. 2 let. a LP).</w:t>
      </w:r>
    </w:p>
    <w:p>
      <w:r>
        <w:rPr>
          <w:b/>
        </w:rPr>
        <w:t>E. 3.3</w:t>
      </w:r>
    </w:p>
    <w:p>
      <w:r>
        <w:t>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II 2012 p. 27).</w:t>
      </w:r>
    </w:p>
    <w:p>
      <w:r>
        <w:rPr>
          <w:b/>
        </w:rPr>
        <w:t>E. 3.4</w:t>
      </w:r>
    </w:p>
    <w:p>
      <w:r>
        <w:t>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w:t>
      </w:r>
    </w:p>
    <w:p>
      <w:r>
        <w:t>Il en va de même de l'identité entre le créancier et le poursuivant. La production par le créancier du transfert de propriété à fin de garantie de la cédule hypothécaire établit sa qualité de propriétaire de celle-ci (AEBI, op. cit. p. 38).</w:t>
      </w:r>
    </w:p>
    <w:p>
      <w:r>
        <w:t>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w:t>
      </w:r>
    </w:p>
    <w:p>
      <w:r>
        <w:t>- 7/9 -</w:t>
      </w:r>
    </w:p>
    <w:p>
      <w:r>
        <w:t>C/2865/2016 La créance causale doit également être exigible, selon les conditions de dénonciations fixées dans le contrat de prêt ou dans les conditions générales auxquelles il se réfère (AEBI, op. cit. p. 39).</w:t>
      </w:r>
    </w:p>
    <w:p>
      <w:r>
        <w:rPr>
          <w:b/>
        </w:rPr>
        <w:t>E. 3.5</w:t>
      </w:r>
    </w:p>
    <w:p>
      <w:r>
        <w:t>En l'espèce, l'intimée a intenté une poursuite en réalisation de gage immobilier, dirigée contre A______, en sa qualité de débiteur solidaire. L'Office des poursuites a émis un commandement de payer notifié au précité, ainsi qu'un commandement de payer notifié au tiers propriétaire, soit B______SA, dans la poursuite n° 1______. Les deux précités ont formé opposition, sans autre mention.</w:t>
      </w:r>
    </w:p>
    <w:p>
      <w:r>
        <w:t>Les commandements de payer indiquent clairement et en premier lieu, comme titres de la créance, les quatre cédules hypothécaires remises à l'intimée, ce qui est nécessaire et suffisant, ainsi que le rappelle la doctrine susvisée. Il est donc, à ce stade, sans portée qu'ils mentionnent en outre le contrat cadre, dans sa version du</w:t>
      </w:r>
    </w:p>
    <w:p>
      <w:r>
        <w:rPr>
          <w:b/>
        </w:rPr>
        <w:t>E. 5</w:t>
      </w:r>
    </w:p>
    <w:p>
      <w:r>
        <w:t>janvier 2012. L'argument des recourants, selon lesquels les commandements de payer énonceraient "des contrats caducs" est ainsi dépourvu de fondement.</w:t>
      </w:r>
    </w:p>
    <w:p>
      <w:r>
        <w:t>Les cédules hypothécaires représentent un titre de mainlevée, au sens de l'art. 82 LP.</w:t>
      </w:r>
    </w:p>
    <w:p>
      <w:r>
        <w:t>La production par l'intimée du contrat de cession des cédules en sa faveur, signé par les recourants établit par ailleurs sa qualité de créancière, et la qualité de débiteur du recourant A______, débiteur solidaire dans la poursuite susmentionnée.</w:t>
      </w:r>
    </w:p>
    <w:p>
      <w:r>
        <w:t>Tant la créance causale que la créance abstraite, valablement dénoncée par courrier de l'intimée du 10 juillet 2014 adressé aux débiteurs et au tiers, étaient exigibles au moment de la réquisition de poursuite, ce qui résulte de la production des contrats des 9 et 15 juin 2011, du 5 janvier 2012, ainsi que des conditions générales auxquels ils renvoient. Enfin, les intérêts réclamés à 9% étaient conventionnellement prévus, à l'art. 3 desdites conditions générales de l'intimée, et le montant total des cédules, soit 15'400'000 fr. est supérieur au montant en poursuite.</w:t>
      </w:r>
    </w:p>
    <w:p>
      <w:r>
        <w:t>Sur la base des pièces produites par l'intimée, le premier juge a ainsi retenu à raison qu'il y avait lieu de faire droit aux conclusions de l'intimée. En dépit de cette considération, il n'a toutefois prononcé la mainlevée que de l'"opposition" formée dans la poursuite n° 1______, bien que saisi de conclusions portant sur la mainlevée des deux oppositions formées, soit de celle du débiteur solidaire A______ et de celle du tiers B______SA, point qui n'a pas été remis en cause par l'intimée, et n'a donc pas à être revu.</w:t>
      </w:r>
    </w:p>
    <w:p>
      <w:r>
        <w:t>Infondé, le recours sera dès lors rejeté.</w:t>
      </w:r>
    </w:p>
    <w:p>
      <w:r>
        <w:t>- 8/9 -</w:t>
      </w:r>
    </w:p>
    <w:p>
      <w:r>
        <w:t>C/2865/2016 4. Les recourants, qui succombent, supporteront les frais de leur recours (art. 106 al. 1 CPC). Ceux-ci seront arrêtés à 3'000 fr. (art. 48, 61 OELP), compensés avec l'avance opérée, acquise à l'Etat de Genève (art. 111 al. 1 CPC).</w:t>
      </w:r>
    </w:p>
    <w:p>
      <w:r>
        <w:t>Ils verseront en outre à l'intimée 8'000 fr. à titre de dépens, débours et TVA inclus (art. 84, 85, 88, 89, 90 RTFMC, 25 et 26 LaCC). * * * * * *</w:t>
      </w:r>
    </w:p>
    <w:p>
      <w:r>
        <w:t>- 9/9 -</w:t>
      </w:r>
    </w:p>
    <w:p>
      <w:r>
        <w:t>C/2865/2016</w:t>
      </w:r>
    </w:p>
    <w:p>
      <w:r>
        <w:t>PAR CES MOTIFS, La Chambre civile : A la forme : Déclare recevable le recours formé le 3 juillet 2017 par A______ et B______SA contre le jugement JTPI/8122/2017 rendu le 19 juin 2017 par le Tribunal de première instance dans la cause C/2865/2016-2 SML. Au fond : Rejette ce recours. Déboute les parties de toutes autres conclusions. Sur les frais : Arrête les frais judiciaires du recours à 3'000 fr., compensés avec l'avance opérée, acquise à l'Etat de Genève. Les met à la charge d'A______ et B______SA, conjointement et solidairement. Condamne A______ et B______SA, conjointement et solidairement, à verser à C______SA 8'000 fr. à titre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