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ACJC/133/2026 vom 26. Januar 2026</w:t>
      </w:r>
    </w:p>
    <w:p>
      <w:r>
        <w:t>GE Cour de justice, 2026-01-26, FR</w:t>
      </w:r>
    </w:p>
    <w:p>
      <w:r>
        <w:rPr>
          <w:b/>
        </w:rPr>
        <w:t xml:space="preserve">Quelle: </w:t>
      </w:r>
      <w:r>
        <w:t>https://mcp.opencaselaw.ch/entscheid/ge_gerichte_ACJC_133_2026</w:t>
      </w:r>
    </w:p>
    <w:p>
      <w:r>
        <w:t>FR: GE_GERICHTE ACJC/133/2026 du 26 janvier 2026</w:t>
      </w:r>
    </w:p>
    <w:p>
      <w:r>
        <w:t>IT: GE_GERICHTE ACJC/133/2026 del 26 gennaio 2026</w:t>
      </w:r>
    </w:p>
    <w:p>
      <w:pPr>
        <w:pStyle w:val="Heading2"/>
      </w:pPr>
      <w:r>
        <w:t>Erwägungen</w:t>
      </w:r>
    </w:p>
    <w:p>
      <w:r>
        <w:rPr>
          <w:b/>
        </w:rPr>
        <w:t>E. 1.1</w:t>
      </w:r>
    </w:p>
    <w:p>
      <w:r>
        <w:t>S'agissant d'une procédure de mainlevée, seule la voie du recours est ouverte (art. 319 let. b ch. 1 et 309 let. b ch. 3 CPC). La procédure sommaire s'applique (art. 251 let. a CPC). Le recours, écrit et motivé, doit être introduit auprès de l'instance de recours dans les dix jours à compter de la notification de la décision motivée (art. 251 let. a CPC et 321 al. 1 et 2 CPC). En l'espèce, le recours respecte les conditions précitées, de sorte qu'il est recevable.</w:t>
      </w:r>
    </w:p>
    <w:p>
      <w:r>
        <w:rPr>
          <w:b/>
        </w:rPr>
        <w:t>E. 1.2</w:t>
      </w:r>
    </w:p>
    <w:p>
      <w:r>
        <w:t>Le recours est recevable pour violation du droit ou constatation manifestement inexacte des faits (art. 320 CPC).</w:t>
      </w:r>
    </w:p>
    <w:p>
      <w:r>
        <w:rPr>
          <w:b/>
        </w:rPr>
        <w:t>E. 2</w:t>
      </w:r>
    </w:p>
    <w:p>
      <w:r>
        <w:t>Le Tribunal a considéré que la mainlevée ne pouvait pas être prononcée pour le montant de la contribution d'entretien due à la recourante pour la période de janvier à mars 2024 car le commandement de payer mentionnait comme titre de mainlevée l'arrêt de la Cour ACJC/226/2020 du 4 février 2020, alors que la contribution due pour la période précitée avait été modifiée par arrêt ACJC/484/2024 du 16 avril 2024. Il n'y avait dès lors pas identité entre la prétention déduite en poursuite et le titre sur la base duquel cette dernière avait été initiée.</w:t>
      </w:r>
    </w:p>
    <w:p>
      <w:r>
        <w:t>- 5/9 -</w:t>
      </w:r>
    </w:p>
    <w:p>
      <w:r>
        <w:t>C/9001/2025</w:t>
      </w:r>
    </w:p>
    <w:p>
      <w:r>
        <w:t>La recourante fait valoir qu'il y a bien identité entre la prétention déduite en poursuite et le titre fondant celle-ci. La modification du montant des contributions d'entretien dues pour la période figurant dans le commandement de payer par une décision prononcée ultérieurement à la notification de ce dernier ne devait pas provoquer le rejet de la demande de mainlevée. L'ACJC/484/2024 du 16 avril 2024 n'avait pas annulé l'ACJC/226/2020 du 4 février 2020 mentionné dans le commandement de payer, mais l'avait uniquement modifié en ce qui concernait le montant de la contribution. Les deux décisions précitées constituaient le titre de mainlevée. 2.1.1 Aux termes de l'art. 80 al. 1 LP, le créancier qui est au bénéfice d'un jugement exécutoire peut requérir du juge la mainlevée définitive de l'opposition. Selon l'art. 81 al. 1 LP, le juge ordonne la mainlevée définitive de l'opposition, à moins que l'opposant ne prouve par titre que la dette a été éteinte ou qu'il a obtenu un sursis, postérieurement au jugement, ou qu'il ne se prévale de la prescription.</w:t>
      </w:r>
    </w:p>
    <w:p>
      <w:r>
        <w:t>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132 III 140 consid. 4.1.1).</w:t>
      </w:r>
    </w:p>
    <w:p>
      <w:r>
        <w:t>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Ainsi, si le montant est dû en vertu d'un autre titre que celui indiqué dans le commandement de payer, la mainlevée doit être rejetée (arrêts du Tribunal fédéral 5D_211/2019 du 29 mai 2020 consid. 5.2.1, publié in BlSchK 2021 p. 5; 5A_1023/2018 du 8 juillet 2019 consid. 6.2.4.2).</w:t>
      </w:r>
    </w:p>
    <w:p>
      <w:r>
        <w:t>Lorsque le titre de la créance figurant sur le commandement de payer est le jugement de première instance (non exécutoire), et non le jugement sur appel (exécutoire) produit devant le juge de la mainlevée, la mainlevée peut être accordée sur la base du jugement exécutoire rendu sur appel; il y a dans ce cas identité entre la créance déduite en poursuite et celle constatée dans le titre exécutoire (arrêt du Tribunal fédéral 5P.205/2004 du 20 août 2004 consid. 2.3; arrêt du Tribunal fédéral 5A_814/2022 du 2 juin 2023 consid. 4.2).</w:t>
      </w:r>
    </w:p>
    <w:p>
      <w:r>
        <w:t>Le commandement de payer doit contenir les indications prescrites par la loi. A teneur des art. 69 al. 2 ch. 1 et 67 al. 1 ch. 4 LP, il s'agit, entre autres, du titre,</w:t>
      </w:r>
    </w:p>
    <w:p>
      <w:r>
        <w:t>- 6/9 -</w:t>
      </w:r>
    </w:p>
    <w:p>
      <w:r>
        <w:t>C/9001/2025 soit par exemple un jugement ou un contrat, et de la date de la créance ou, à défaut, de la cause de l'obligation, soit la source de l'obligation. Si la cause de l'obligation indiquée dans le commandement de payer correspond à celle résultant de la décision à exécuter, la mainlevée doit être accordée même si le commandement de payer ne mentionne pas ce titre de la créance (arrêt du Tribunal fédéral 5A_814/2022 du 2 juin 2023 consid. 4.1.3).</w:t>
      </w:r>
    </w:p>
    <w:p>
      <w:r>
        <w:t>L'une des fonctions des indications contenues dans le commandement de payer est de répondre à un besoin de clarté et d'individualiser la prétention réclamée par voie d'exécution afin que le poursuivi puisse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(arrêt du Tribunal fédéral 5A_814/2022 du 2 juin 2023 consid. 4.1.3).</w:t>
      </w:r>
    </w:p>
    <w:p>
      <w:r>
        <w:t>2.1.2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134 II 244, JdT 2009 I 716; 132 I 249 consid. 5; 130 V 177 consid. 5.4.1; 128 II 139 consid. 2a, JdT 2002 I 571; 127 I 31 consid. 2a/bb, JdT 2001 I 727, SJ 2001 I 193).</w:t>
      </w:r>
    </w:p>
    <w:p>
      <w:r>
        <w:rPr>
          <w:b/>
        </w:rPr>
        <w:t>E. 2.2</w:t>
      </w:r>
    </w:p>
    <w:p>
      <w:r>
        <w:t>En l'espèce, lorsque la recourante a requis la poursuite de l'intimé, les contributions qui lui étaient dues pour la période de janvier à mars 2024 étaient fixées par l'ACJC/226/2020 du 4 février 2020. L'ACJC/484/2024 du 16 avril 2024 a modifié à la baisse le montant des contributions pour la période précitée. La recourante a produit les deux décisions précitées devant le Tribunal et réduit ses prétentions, en en expliquant les raisons.</w:t>
      </w:r>
    </w:p>
    <w:p>
      <w:r>
        <w:t>La créance mentionnée dans le commandement de payer est la contribution d'entretien due à la recourante pour la période de janvier à mars 2024 et le titre produit par la recourante devant le juge de la mainlevée est un arrêt cantonal exécutoire statuant sur ces mêmes contributions, de sorte qu'il n'y a pas absence manifeste d'identité entre la prétention déduite en poursuite et le titre présenté.</w:t>
      </w:r>
    </w:p>
    <w:p>
      <w:r>
        <w:t>- 7/9 -</w:t>
      </w:r>
    </w:p>
    <w:p>
      <w:r>
        <w:t>C/9001/2025</w:t>
      </w:r>
    </w:p>
    <w:p>
      <w:r>
        <w:t>Le commandement de payer litigieux mentionne clairement la cause de la créance mise en poursuite, soit l'obligation d'entretien de l'intimé envers la recourante, ainsi que les mois concernés par celle-ci. Ces indications étaient suffisantes pour permettre au recourant de reconnaître le fondement de la dette déduite en poursuite, que ce soit au moment de la notification du commandement de payer ou au moment de la requête de mainlevée, et ce, même si le titre mentionné dans le commandement de payer a été modifié par une décision subséquente.</w:t>
      </w:r>
    </w:p>
    <w:p>
      <w:r>
        <w:t>A cela s'ajoute que ce serait faire preuve de formalisme excessif que de refuser le prononcé de la mainlevée requise par la recourante, obligeant ainsi celle-ci à faire notifier à l'intimé un nouveau commandement de payer et à déposer une nouvelle requête pour obtenir le paiement des contributions d'entretien qui lui sont dues.</w:t>
      </w:r>
    </w:p>
    <w:p>
      <w:r>
        <w:t>Le jugement querellé sera dès lors annulé et il sera fait droit aux conclusions de la recourante.</w:t>
      </w:r>
    </w:p>
    <w:p>
      <w:r>
        <w:rPr>
          <w:b/>
        </w:rPr>
        <w:t>E. 3</w:t>
      </w:r>
    </w:p>
    <w:p>
      <w:r>
        <w:t>L'intimé, qui succombe sur le fond, sera condamné aux frais des deux instances, à l'exception des frais relatifs à la décision sur effet suspensif, qui seront mis à la charge de la recourante, qui n'a pas obtenu gain de cause sur ce point (art. 106 al. 1 CPC).</w:t>
      </w:r>
    </w:p>
    <w:p>
      <w:r>
        <w:t>Les frais judiciaires de première instance seront fixés à 400 fr. et ceux de recours à 650 fr., comprenant 250 fr. au titre de la décision sur effet suspensif (art. 48 et 61 OELP). Le montant de 250 fr. dû par la recourante au titre de la décision sur effet suspensif sera compensé à hauteur de ce montant avec les avances qu'elle a versées en 1'050 fr., le solde en 800 fr. lui étant restitué (art. 111 al. 1 CPC). L’intimé sera condamné à verser 800 fr. à l’Etat de Genève, soit pour lui les Services financiers du Pouvoir judiciaire.</w:t>
      </w:r>
    </w:p>
    <w:p>
      <w:r>
        <w:t>L'intimé sera condamné à verser à la recourante 1'500 fr. à titre de dépens de première instance et 1'000 fr. à titre de dépens de recours, débours et TVA inclus (art. 84, 85, 88 à 90 RTFMC). * * * * *</w:t>
      </w:r>
    </w:p>
    <w:p>
      <w:r>
        <w:t>- 8/9 -</w:t>
      </w:r>
    </w:p>
    <w:p>
      <w:r>
        <w:t>C/9001/2025 PAR CES MOTIFS, La Chambre civile : A la forme : Déclare recevable le recours interjeté par A______ contre le jugement JTPI/16835/2025 rendu le 3 décembre 2025 par le Tribunal de première instance dans la cause C/9001/2025–26 SML. Au fond : Annule ce jugement et, statuant à nouveau : Prononce la mainlevée définitive de l'opposition formée par B______ au commandement de payer, poursuite n° 1______ à concurrence de 19'500 fr. Dit que la poursuite précitée ira sa voie à concurrence de ce montant. Déboute les parties de toutes autres conclusions. Sur les frais : Met les frais judiciaires des deux instances, arrêtés à 1'050 fr., à la charge de B______ à hauteur de 800 fr. et à la charge de A______ à hauteur de 250 fr. Dit que les frais dus par A______ sont compensés à due concurrence avec l'avance versée par ses soins. Invite les Services financiers du Pouvoir judiciaire à restituer à A______ le solde de son avance de frais en 800 fr. Condamne B______ à verser 800 fr. à l'Etat de Genève au titre des frais judiciaires des deux instances. Condamne B______ à verser 2'500 fr. à A______ au titre des dépens des deux instances. Siégeant : Madame Fabienne GEISINGER-MARIETHOZ, présidente; Monsieur Laurent RIEBEN, Monsieur Ivo BUETTI, juges; Madame Laura SESSA, greffière. La présidente : Fabienne GEISINGER-MARIETHOZ</w:t>
      </w:r>
    </w:p>
    <w:p>
      <w:r>
        <w:t>La greffière : Laura SESSA</w:t>
      </w:r>
    </w:p>
    <w:p>
      <w:r>
        <w:t>- 9/9 -</w:t>
      </w:r>
    </w:p>
    <w:p>
      <w:r>
        <w:t>C/9001/2025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