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ACJC/1338/2025 vom 3. Oktober 2025</w:t>
      </w:r>
    </w:p>
    <w:p>
      <w:r>
        <w:t>GE Cour de justice, 2025-10-03, FR</w:t>
      </w:r>
    </w:p>
    <w:p>
      <w:r>
        <w:rPr>
          <w:b/>
        </w:rPr>
        <w:t xml:space="preserve">Quelle: </w:t>
      </w:r>
      <w:r>
        <w:t>https://mcp.opencaselaw.ch/entscheid/ge_gerichte_ACJC_1338_2025</w:t>
      </w:r>
    </w:p>
    <w:p>
      <w:r>
        <w:t>FR: GE_GERICHTE ACJC/1338/2025 du 3 octobre 2025</w:t>
      </w:r>
    </w:p>
    <w:p>
      <w:r>
        <w:t>IT: GE_GERICHTE ACJC/1338/2025 del 3 ottobre 2025</w:t>
      </w:r>
    </w:p>
    <w:p>
      <w:pPr>
        <w:pStyle w:val="Heading2"/>
      </w:pPr>
      <w:r>
        <w:t>Erwägungen</w:t>
      </w:r>
    </w:p>
    <w:p>
      <w:r>
        <w:rPr>
          <w:b/>
        </w:rPr>
        <w:t>E. 1.1</w:t>
      </w:r>
    </w:p>
    <w:p>
      <w:r>
        <w:t>S'agissant d'une procédure de mainlevée, seule la voie du recours est ouverte (art. 319 let. a et 309 let. b ch. 3 CPC). La procédure sommaire est applicable (art. 251 let. a CPC). Aux termes de l'art. 321 al. 1 et 2 CPC, le recours, écrit et motivé, doit être introduit auprès de l'instance de recours dans les dix jours à compter de la notification de la décision motivée, pour les décisions prises en procédure sommaire (art. 251 let. a CPC). Le recours a été formé dans le délai et la forme prévus par la loi, de sorte qu'il est recevable.</w:t>
      </w:r>
    </w:p>
    <w:p>
      <w:r>
        <w:t>- 6/12 -</w:t>
      </w:r>
    </w:p>
    <w:p>
      <w:r>
        <w:t>C/25614/2024</w:t>
      </w:r>
    </w:p>
    <w:p>
      <w:r>
        <w:rPr>
          <w:b/>
        </w:rPr>
        <w:t>E. 1.2</w:t>
      </w:r>
    </w:p>
    <w:p>
      <w:r>
        <w:t>Le pouvoir d'examen de la Cour est limité à la violation du droit et à la constatation inexacte des faits (art. 320 CPC). L'autorité de recours a un plein pouvoir d'examen en droit, mais un pouvoir limité à l'arbitraire en fait, n'examinant par ailleurs que les griefs formulés et motivés par le recourant (HOHL/DE PORET/BORTOLASO/AGUET, Procédure civile, Tome II, 2ème éd. 2010, n. 2307).</w:t>
      </w:r>
    </w:p>
    <w:p>
      <w:r>
        <w:t>Par ailleurs, la maxime des débats s'applique et la preuve des faits allégués doit être apportée par titre (art. 55 al. 1, 255 let. a a contrario et 254 CPC).</w:t>
      </w:r>
    </w:p>
    <w:p>
      <w:r>
        <w:rPr>
          <w:b/>
        </w:rPr>
        <w:t>E. 1.3</w:t>
      </w:r>
    </w:p>
    <w:p>
      <w:r>
        <w:t>À teneur de l'art. 326 al. 1 CPC, les allégations de faits et les preuves nouvelles sont irrecevables dans le cadre d'une procédure de recours.</w:t>
      </w:r>
    </w:p>
    <w:p>
      <w:r>
        <w:t>Par conséquent, les faits nouvellement allégués par les parties ainsi que les pièces nouvellement produites par l'intimée sont irrecevables.</w:t>
      </w:r>
    </w:p>
    <w:p>
      <w:r>
        <w:rPr>
          <w:b/>
        </w:rPr>
        <w:t>E. 2</w:t>
      </w:r>
    </w:p>
    <w:p>
      <w:r>
        <w:t>Le Tribunal a retenu qu'à teneur des pièces fournies par les parties, les formations suivies par l'intimée n'étaient pas manifestement inappropriées au sens de l'art. 277 al. 2 CC. Le pouvoir de cognition du juge ne s'étendait pas au grief portant sur l'absence de relations entre les parties, de sorte que ce dernier devait être écarté. L'achèvement de la formation de l'intimée étant survenue au mois de juillet 2024, la contribution d'entretien cessait d'être due à compter du mois d'août 2024. La mainlevée de l'opposition était donc prononcée pour les contributions d'entretien dues pour les mois de septembre 2023 à juillet 2024, soit à hauteur de 137'500 fr.</w:t>
      </w:r>
    </w:p>
    <w:p>
      <w:r>
        <w:rPr>
          <w:b/>
        </w:rPr>
        <w:t>E. 2.1</w:t>
      </w:r>
    </w:p>
    <w:p>
      <w:r>
        <w:t>Le recourant se prévaut tout d'abord d'une violation de son droit d'être entendu, au motif que la motivation du premier juge serait insuffisante.</w:t>
      </w:r>
    </w:p>
    <w:p>
      <w:r>
        <w:rPr>
          <w:b/>
        </w:rPr>
        <w:t>E. 2.1.1</w:t>
      </w:r>
    </w:p>
    <w:p>
      <w:r>
        <w:t>La jurisprudence a déduit du droit d'être entendu de l'art. 29 al. 2 Cst l'obligation pour l'autorité de motiver sa décision, afin que l'intéressé puisse se rendre compte de la portée de celle-ci et l'attaquer en connaissance de cause (ATF 146 II 335 consid. 5.1; 143 III 65 consid. 5.2).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146 II 335 consid. 5.1; 142 II 154 consid.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1C_94/2023 du 12 novembre 2024 consid. 4.1). Le droit d'être entendu est une garantie de nature formelle, dont la violation entraîne l'annulation de la</w:t>
      </w:r>
    </w:p>
    <w:p>
      <w:r>
        <w:t>- 7/12 -</w:t>
      </w:r>
    </w:p>
    <w:p>
      <w:r>
        <w:t>C/25614/2024 décision attaquée, sans égard aux chances de succès du recours sur le fond (ATF 144 I 11 consid. 5.3; 143 IV 380 consid. 1.4.1).</w:t>
      </w:r>
    </w:p>
    <w:p>
      <w:r>
        <w:rPr>
          <w:b/>
        </w:rPr>
        <w:t>E. 2.1.2</w:t>
      </w:r>
    </w:p>
    <w:p>
      <w:r>
        <w:t>En l'espèce, la motivation du jugement entrepris est conforme aux exigences de la jurisprudence rappelée ci-dessus. Le jugement permet de comprendre sur quels faits le Tribunal s'est fondé pour statuer sur le caractère adéquat des différentes formations suivies par l'intimée. Contrairement à ce qu'allègue le recourant, la référence aux pièces 10 et 10 bis produites par l'intimée ne signifie pas que le Tribunal a fait abstraction des autres pièces, étant rappelé qu'il n'a pas l'obligation de discuter tous les moyens de preuve mais doit se limiter à ceux qui peuvent être tenus pour pertinents.</w:t>
      </w:r>
    </w:p>
    <w:p>
      <w:r>
        <w:t>Le grief du recourant n'est dès lors pas fondé.</w:t>
      </w:r>
    </w:p>
    <w:p>
      <w:r>
        <w:rPr>
          <w:b/>
        </w:rPr>
        <w:t>E. 2.2</w:t>
      </w:r>
    </w:p>
    <w:p>
      <w:r>
        <w:t>Le recourant reproche ensuite au Tribunal d'avoir admis la requête de mainlevée en l'absence de formation appropriée. L'intimée étudiait dans des écoles sans qu'aucun diplôme consécutif à un examen ne lui soit décerné, celle-ci ne recevant que des attestations de participation. Les formations suivies, la plupart en ligne, s'apparentaient davantage à de la formation continue qu'à une formation appropriée et reconnue, dite "Bologne". L'intimée aurait pu étudier en Suisse, par exemple à la [haute école] M______ ou poursuivre une formation de type CFC en bijouterie. En outre, celle-ci refusait d'entretenir tout contact avec lui.</w:t>
      </w:r>
    </w:p>
    <w:p>
      <w:r>
        <w:rPr>
          <w:b/>
        </w:rPr>
        <w:t>E. 2.2.1</w:t>
      </w:r>
    </w:p>
    <w:p>
      <w:r>
        <w:t>Aux termes de l'art. 81 al. 1 LP, lorsque la poursuite est fondée, notamment, sur un jugement exécutoire rendu par un tribunal, le juge ordonne la mainlevée définitive de l'opposition, à moins que l'opposant ne prouve par titre (art. 254 CPC) que la dette a été éteinte ou qu'il a obtenu un sursis, postérieurement au jugement, ou qu'il ne se prévale de la prescription. Par "extinction de la dette", l'art. 81 al. 1 LP ne vise pas seulement le paiement, mais aussi toute autre cause de droit civil, comme, par exemple, l'accomplissement d'une condition résolutoire (ATF 124 III 501 consid. 3b).</w:t>
      </w:r>
    </w:p>
    <w:p>
      <w:r>
        <w:rPr>
          <w:b/>
        </w:rPr>
        <w:t>E. 2.2.2</w:t>
      </w:r>
    </w:p>
    <w:p>
      <w:r>
        <w:t>Selon la jurisprudence, le jugement qui condamne le poursuivi au versement de contributions d'entretien au-delà de la majorité (art. 277 al. 2 CC) est conditionnellement exécutoire, en ce sens qu'il soumet cet entretien à la condition résolutoire de l'achèvement de la formation dans un délai raisonnable (ATF 144 III 193 consid. 2.2; arrêt du Tribunal fédéral 5A_720/2019 du 23 mars 2020 consid. 3.3; ABBET, La mainlevée de l'opposition, 2022, n° 37 ad. art. 80). En présence d'un tel jugement dont l'effet cesse si la condition n'est pas réalisée, il appartient au débiteur d'apporter la preuve stricte par titre de la survenance de la condition résolutoire, sauf si cette dernière est reconnue sans réserve par le créancier ou si elle est notoire (ATF 144 III 193 consid. 2.2; arrêt du Tribunal fédéral 5A_810/2023 du 1er février 2024 consid. 4.1.3.2).</w:t>
      </w:r>
    </w:p>
    <w:p>
      <w:r>
        <w:t>- 8/12 -</w:t>
      </w:r>
    </w:p>
    <w:p>
      <w:r>
        <w:t>C/25614/2024</w:t>
      </w:r>
    </w:p>
    <w:p>
      <w:r>
        <w:rPr>
          <w:b/>
        </w:rPr>
        <w:t>E. 2.2.3</w:t>
      </w:r>
    </w:p>
    <w:p>
      <w:r>
        <w:t>A teneur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3b; arrêt du Tribunal fédéral 5A_810/2023 précité consid. 4.1.3.1). Elle doit être achevée dans des délais normaux, ce qui implique que l'enfant doit s'y consacrer avec zèle ou en tout cas avec bonne volonté, sans toutefois faire preuve de dispositions exceptionnelles (ATF 117 II 372 consid. 3b; arrêt du Tribunal fédéral 5A_717/2019 du 20 avril 2020 consid. 5.2.1). La formation initiale est obtenue, notamment, par un titre universitaire, soit une maîtrise (master) dans le système introduit par la réforme dite « de Bologne », le bachelor ne suffisant pas. Ce qui est vrai pour une formation universitaire vaut aussi pour une école professionnelle, ou une haute école spécialisée (CR CC I PIOTET/GAURON-CARLIN, 2023, n° 9 ad. art. 277). Une formation complémentaire n’entre en ligne de compte, après achèvement couronné de succès de la première formation, que dans le cas où la première n’a pas épuisé le potentiel de l’enfant, ni ne lui a permis d’atteindre une pleine capacité contributive. De surcroît, puisque l’obligation d’entretien vise l’acquisition d’une seule formation professionnelle, un perfectionnement ou une formation complémentaire ne sont en principe couverts que s’ils apparaissent comme véritablement indispensables à l’exercice de la profession et non simplement utiles (ATF 118 II 97 consid. 4a; arrêt du Tribunal fédéral 5A_717/2019 du 20 avril 2020 consid.5.2.1; PIOTET/GAURON-CARLIN, op. cit., n° 12 ad. art. 277 CC). En principe, un enfant ne saurait prétendre, dans le cadre de l'art. 277 al. 2 CC, à ce que ses parents lui assurent des études à l'étranger, notamment sur un autre continent, alors qu'ils lui offrent la possibilité de suivre, à moindres frais, un enseignement équivalent en Suisse ou en Europe. Si des raisons légitimes existent toutefois, la formation peut devoir se dérouler à l'étranger, ce qui peut impliquer la prise en charge de coûts supplémentaires en fonction des moyens financiers du débiteur (arrêts du Tribunal fédéral 5A_185/2019 du 26 septembre 2019 consid. 5.1; 5A_97/2017 du 23 août 2017 consid. 9.1; PIOTET/GAURON-CARLIN, op. cit., n° 9 ad. art. 277 CC).</w:t>
      </w:r>
    </w:p>
    <w:p>
      <w:r>
        <w:t>- 9/12 -</w:t>
      </w:r>
    </w:p>
    <w:p>
      <w:r>
        <w:t>C/25614/2024</w:t>
      </w:r>
    </w:p>
    <w:p>
      <w:r>
        <w:rPr>
          <w:b/>
        </w:rPr>
        <w:t>E. 2.2.4</w:t>
      </w:r>
    </w:p>
    <w:p>
      <w:r>
        <w:t>La question de savoir si la formation suivie correspond à une formation appropriée au sens de l'art. 277 al. 2 CC ou si elle a été achevée dans des délais normaux constitue une problématique qui - sous réserve de situations manifestes - excède la cognition du juge de la mainlevée définitive, auquel il n'appartient pas de trancher des questions délicates de droit matériel ou pour la solution desquelles le pouvoir d'appréciation joue un rôle important (ATF 124 III 501 consid. 3a; arrêt du Tribunal fédéral 5A_719/2019 du 23 mars 2020 consid. 3.3.1). Une telle question relève de la compétence du juge du fond (juge de la modification du jugement de divorce, respectivement de la modification de la contribution d'entretien fixée après la majorité; arrêt du Tribunal fédéral 5A_810/2023 précité consid. 4.1.3.3). La question des circonstances personnelles, notamment l'absence de contact entre un enfant et l'un de ses parents, relève de l'examen du juge du fond et ne peut être invoqué dans la procédure de mainlevée (arrêts du Tribunal fédéral 5A_733/2021 du 8 juillet 2022 consid. 4.5 et 5A_349/2019 du 26 juillet 2019 consid. 3.2; MAIER, Entretien de l'enfant majeur - un état des lieux, JdT 2019 II p. 49).</w:t>
      </w:r>
    </w:p>
    <w:p>
      <w:r>
        <w:rPr>
          <w:b/>
        </w:rPr>
        <w:t>E. 2.2.5</w:t>
      </w:r>
    </w:p>
    <w:p>
      <w:r>
        <w:t>L'obligation d'entretien des père et mère à l'égard de leur enfant majeur, prévue par l'art. 277 al. 2 CC, dépend expressément de l'ensemble des circonstances et notamment des relations personnelles entre les parties (arrêts du Tribunal fédéral 5A_585/2018 du 24 août 2018 consid. 3.1.1 et 5A_442/2016 du</w:t>
      </w:r>
    </w:p>
    <w:p>
      <w:r>
        <w:rPr>
          <w:b/>
        </w:rPr>
        <w:t>E. 2.2.6</w:t>
      </w:r>
    </w:p>
    <w:p>
      <w:r>
        <w:t>En l'espèce, la créance en poursuite consiste en des arriérés de contribution à l'entretien de l'intimée pour la période courant de septembre 2023 à octobre 2024, de sorte qu'il convient d'examiner la question de l'existence de la créance pour cette période uniquement. La Cour de céans a jugé, sans que cela ne soit remis en cause par les parties, qu'il n'était pas manifeste que les formations suivies par l’intimée auprès de l'Institut d'art et design de J______ et de l'Université de I______ ne répondaient pas à la définition de formation appropriée (arrêt ACJC/1173/2024 du 24 septembre 2024 consid. 5.2), de sorte que l'examen de la condition résolutoire de l'art. 277 al. 2 CC porte uniquement sur les cours suivis par l'intimée auprès de [l'académie] K______.</w:t>
      </w:r>
    </w:p>
    <w:p>
      <w:r>
        <w:t>- 10/12 -</w:t>
      </w:r>
    </w:p>
    <w:p>
      <w:r>
        <w:t>C/25614/2024 A teneur du dossier, ces cours permettent l'acquisition de compétences spécifiques en matière de création de bijoux et de connaissances a priori nécessaires à la maîtrise des diverses techniques de conception et de réalisation. L'orfèvrerie et la création de bijoux étant des activités éminemment manuelles, il ne semble pas qu'une formation basée sur des cours pratiques auprès d'enseignants qualifiés serait inappropriée pour pouvoir acquérir un savoir-faire de qualité et exercer dans ce domaine, ce d'autant moins que l'ensemble des cours suivis précédemment par l'intimée l'ont été en ligne, soit sur une base théorique. En ce sens, il n'est pas manifeste que les cours suivis par l'intimée dans la période de référence ne seraient pas appropriés au sens de l'art. 277 al. 2 CC. Il est sans pertinence que la formation de l'intimée ne constitue pas une formation académique dite "Bologne", ni de formation équivalente avec passage d'un ou plusieurs examens, dans la mesure où la jurisprudence ne subordonne pas l'octroi d'une contribution d'entretien après la majorité de l'enfant à de telles conditions. Est également sans pertinence l'argument selon lequel l'intimée aurait pu étudier en Suisse, dès lors que cette dernière ne demande pas d'assumer un éventuel coût supplémentaire en lien avec ses études menées en Italie. Pour le surplus, le recourant ne soutient pas que la formation de l'intimée n'aurait pas été achevée dans les délais normaux. En outre, si l'obligation d'entretien des père et mère à l'égard de leur enfant majeur dépend de l'ensemble des circonstances, notamment des relations personnelles, le recourant n'a, en tout état, pas établi que la rupture du contact avec l'intimée serait imputable exclusivement à cette dernière. La question de savoir si le recourant peut s'appuyer sur la rupture des relations personnelles entre lui-même et l'intimée pour cesser de lui verser des contributions d'entretien relève du droit de fond. Il s'agit d'une question de droit matériel délicate qui échappe au juge de la mainlevée, comme l'a à juste titre relevé le premier juge. Par conséquent, la Cour retiendra que le recourant n'a pas prouvé par titre la survenance de la condition résolutoire à laquelle est subordonnée son obligation alimentaire. En conclusion, la mainlevée définitive a été accordée à bon droit par le Tribunal. Le montant pour lequel elle a été prononcée n'a fait l'objet d'aucune critique des parties, de sorte qu'il sera confirmé. Infondé, le recours sera rejeté. 3. Le recourant, qui succombe, sera condamné aux frais de la procédure de recours (art. 106 CPC), qui seront arrêtés, pour la présente décision et celle rendue le 21 juillet 2025 sur effet suspensif, à 1'325 fr. Ils seront compensés avec l'avance du même montant versée par le recourant, acquise à l'Etat de Genève (art. 48 et 61 OELP; art. 111 CPC).</w:t>
      </w:r>
    </w:p>
    <w:p>
      <w:r>
        <w:t>- 11/12 -</w:t>
      </w:r>
    </w:p>
    <w:p>
      <w:r>
        <w:t>C/25614/2024</w:t>
      </w:r>
    </w:p>
    <w:p>
      <w:r>
        <w:t>Une indemnité de 3'100 fr. sera allouée à l'intimée au titre de dépens, débours compris (art. 84, 85, 88, 89 et 90 RTFMC et art. 25 LaCC), la TVA étant exclue au regard du domicile à l'étranger de l'intimée.</w:t>
      </w:r>
    </w:p>
    <w:p>
      <w:r>
        <w:t>* * * * *</w:t>
      </w:r>
    </w:p>
    <w:p>
      <w:r>
        <w:t>- 12/12 -</w:t>
      </w:r>
    </w:p>
    <w:p>
      <w:r>
        <w:t>C/25614/2024 PAR CES MOTIFS, La Chambre civile : A la forme : Déclare recevable le recours interjeté le 7 juillet 2025 par A______ contre le jugement JTPI/7653/2025 rendu le 20 juin 2025 par le Tribunal de première instance dans la cause C/25614/2024–S1 SML. Au fond : Le rejette. Déboute les parties de toutes autres conclusions. Sur les frais : Arrête les frais judiciaires de recours à 1'325 fr., les met à la charge de A______ et les compense avec l'avance fournie de même montant, acquise à l'Etat de Genève. Condamne A______ à verser 3'100 fr. à B______ à titre de dépens de recours. Siégeant : Madame Fabienne GEISINGER-MARIETHOZ, présidente; Monsieur Laurent RIEBEN, Monsieur Ivo BUETTI, juges; Madame Marie-Pierre GROSJEAN, greffière. La présidente : Fabienne GEISINGER-MARIETHOZ</w:t>
      </w:r>
    </w:p>
    <w:p>
      <w:r>
        <w:t>La greffière : Marie-Pierre GROSJEAN</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février 2017 consid. 4.1). Si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(ATF 120 II 177 consid. 3c; arrêt du Tribunal fédéral 5A_246/2019 du 9 juin 2020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