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ACJC/1336/2018 vom 2. Oktober 2018</w:t>
      </w:r>
    </w:p>
    <w:p>
      <w:r>
        <w:t>GE Cour de justice, 2018-10-02, FR</w:t>
      </w:r>
    </w:p>
    <w:p>
      <w:r>
        <w:rPr>
          <w:b/>
        </w:rPr>
        <w:t xml:space="preserve">Quelle: </w:t>
      </w:r>
      <w:r>
        <w:t>https://mcp.opencaselaw.ch/entscheid/ge_gerichte_ACJC_1336_2018</w:t>
      </w:r>
    </w:p>
    <w:p>
      <w:r>
        <w:t>FR: GE_GERICHTE ACJC/1336/2018 du 2 octobre 2018</w:t>
      </w:r>
    </w:p>
    <w:p>
      <w:r>
        <w:t>IT: GE_GERICHTE ACJC/1336/2018 del 2 ottobre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Dès lors qu'en l'espèce, le litige porte exclusivement sur le montant de contributions d'entretien, il est de nature pécuniaire (ATF 133 III 393 consid. 2; arrêts du Tribunal fédéral 5A_42/2013 du 27 juin 2013 consid. 1.1 et 5A_906/2012 du 18 avril 2013 consid. 1). La capitalisation du montant des contributions d'entretien restées litigieuses au vu des dernières conclusions des parties devant le premier juge excède largement la somme de 10'000 fr. (art 92 al. 2 CPC). Formé auprès de l'autorité compétente (art. 120 al. 1 let. a LOJ) dans les dix jours à compter de la notification de la décision attaquée (art. 248 let. d et 314 al. 1 CPC) et selon la forme prescrite par la loi (art. 130 al. 1, 131 et 311 al. 1 CPC), l'appel est recevable.</w:t>
      </w:r>
    </w:p>
    <w:p>
      <w:r>
        <w:rPr>
          <w:b/>
        </w:rPr>
        <w:t>E. 1.2</w:t>
      </w:r>
    </w:p>
    <w:p>
      <w:r>
        <w:t>La Cour revoit la cause en fait et en droit avec un plein pouvoir d'examen (art. 310 CPC). Les mesures provisionnelles prises dans le cadre d'une action en divorce étant soumises à la procédure sommaire (art. 248 let. d, 271 let. a et 276 al. 1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w:t>
      </w:r>
    </w:p>
    <w:p>
      <w:r>
        <w:t>- 7/16 -</w:t>
      </w:r>
    </w:p>
    <w:p>
      <w:r>
        <w:t>C/17433/2017</w:t>
      </w:r>
    </w:p>
    <w:p>
      <w:r>
        <w:rPr>
          <w:b/>
        </w:rPr>
        <w:t>E. 1.3</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Les parties ont produit des pièces nouvelles à l'appui de leurs écritures de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tous les novas sont recevables (arrêt du Tribunal fédéral 5A_788/2017 du 2 juillet 2018 consid. 4.2.1 destiné à la publication).</w:t>
      </w:r>
    </w:p>
    <w:p>
      <w:r>
        <w:rPr>
          <w:b/>
        </w:rPr>
        <w:t>E. 2.2</w:t>
      </w:r>
    </w:p>
    <w:p>
      <w:r>
        <w:t>En l'espèce, toutes les pièces nouvelles produites en appel sont recevables, dès lors qu’elles sont relatives à des éléments se rapportant à la situation personnelle et financière des parties, entrant en considération pour fixer les contributions dues à l’entretien des enfants mineurs.</w:t>
      </w:r>
    </w:p>
    <w:p>
      <w:r>
        <w:rPr>
          <w:b/>
        </w:rPr>
        <w:t>E. 3</w:t>
      </w:r>
    </w:p>
    <w:p>
      <w:r>
        <w:t>L'intimée soutient que certains allégués de l'appel, insuffisamment motivés, sont irrecevables.</w:t>
      </w:r>
    </w:p>
    <w:p>
      <w:r>
        <w:rPr>
          <w:b/>
        </w:rPr>
        <w:t>E. 3.1</w:t>
      </w:r>
    </w:p>
    <w:p>
      <w:r>
        <w:t>L'appelant doit motiver son appel (art. 311 al. 1 CPC).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 4A_376/2016 du 2 décembre 2016 consid. 3.2.1). Une motivation succincte ou sommaire peut, suivant les circonstances, être suffisante (REETZ/THEILER, in Kommentar zur Schweizerischen</w:t>
      </w:r>
    </w:p>
    <w:p>
      <w:r>
        <w:t>- 8/16 -</w:t>
      </w:r>
    </w:p>
    <w:p>
      <w:r>
        <w:t>C/17433/2017 Zivilprozessordnung (ZPO), Zurich/Bâle/Genève, 3ème éd. 2016, n. 37 s. ad art. 311 CPC; cf. aussi ACJC/144/2018 consid. 2.1.3;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Bâle, 2011, n. 3 ad art. 311 CPC; REETZ/THEILER, op. cit., n. 12 et 38 ad art. 311 CPC).</w:t>
      </w:r>
    </w:p>
    <w:p>
      <w:r>
        <w:rPr>
          <w:b/>
        </w:rPr>
        <w:t>E. 3.2</w:t>
      </w:r>
    </w:p>
    <w:p>
      <w:r>
        <w:t>En l'occurrence, l'appelant formule des critiques à l'égard du jugement entrepris. Contrairement à ce que soutient l’intimée, il ne s’est pas contenté de renvoyer aux moyens soulevés devant le premier juge mais il désigne les éléments qui auraient dû être pris en compte, selon lui, tant dans le cadre du calcul de ses revenus et de ses charges, que de la répartition entre les parties du solde disponible de la famille. Son appel est donc suffisamment motivé. Par conséquent, il est recevable.</w:t>
      </w:r>
    </w:p>
    <w:p>
      <w:r>
        <w:rPr>
          <w:b/>
        </w:rPr>
        <w:t>E. 4</w:t>
      </w:r>
    </w:p>
    <w:p>
      <w:r>
        <w:t>L'appelant reproche au Tribunal de l'avoir condamné à payer des contributions d'entretien trop élevées en faveur de ses enfants. Il soutient que son indemnité ______ ne devrait pas être comprise dans son revenu régulier. En outre, ses charges mensuelles devraient être augmentées de 874 fr., comprenant ses frais médicaux de 267 fr., ses frais de repas pris à l'extérieur à hauteur de 220 fr. (11 fr. pour les cinq jours de la semaine), ainsi que 387 fr. supplémentaires à titre d'impôts. Ceux-ci s'élèveraient en effet à 1'387 fr. au lieu des 1'000 fr. retenus par le Tribunal, lequel aurait omis de prendre en compte l'imposition de la valeur locative de la maison. L'appelant se prévaut ainsi d'un revenu mensuel de 7'977 fr. et de charges de 5'232 fr. Il remet également en cause la répartition de l'excédent telle qu'opérée par le Tribunal. Il lui reproche de consacrer la totalité des montants disponibles à l'amélioration du train de vie des enfants lorsqu'ils sont chez leur mère, alors qu'il exerce un large droit de visite et qu'il devrait aussi pouvoir leur assurer des vacances de qualité similaire. Il estime ainsi que les contributions d'entretien dues aux enfants ne devraient être fixées qu'à concurrence de leurs charges mensuelles, arrondies à la hausse, soit 750 fr. pour C______ et 550 fr. pour D______. L'appelant et l'intimée disposeraient ainsi chacun d'un solde disponible similaire d'environ 1'450 fr. par mois. Le Tribunal a retenu que les revenus de l'appelant s'élevaient à 8'577 fr., comprenant son salaire net incluant l'indemnité ______ ainsi que la rémunération de son activité politique. Il a estimé sa charge d'impôts à 1'000 fr. par mois sur la base de la calculette disponible sur le site de l'Administration fiscale genevoise, l'appelant n'ayant produit aucune pièce attestant du montant dont il s'acquittait. Il a écarté les frais de repas pris hors du domicile faute de justificatifs produits, de</w:t>
      </w:r>
    </w:p>
    <w:p>
      <w:r>
        <w:t>- 9/16 -</w:t>
      </w:r>
    </w:p>
    <w:p>
      <w:r>
        <w:t>C/17433/2017 même que les frais médicaux, l'appelant n'ayant pas démontré l'existence de frais effectifs réguliers. Après prise en charge des besoins mensuels des enfants, le Tribunal a évalué l'excédent de la famille à 4'425 fr. 60, qu'il a partagé entre les membres de la famille à raison d'un tiers (1'475 fr.) pour l'appelant, d'un tiers pour l'intimée, et d'un tiers partagé par moitié entre les deux enfants. 4.1.1 Saisi d'une demande unilatérale tendant au divorce (art. 274 CPC), le Tribunal ordonne les mesures provisionnelles nécessaires, en appliquant par analogie les dispositions régissant la protection de l'union conjugale (art. 276 al. 1 CPC). Les mesures protectrices de l'union conjugale ordonnées par le passé sont maintenues pendant la procédure de divorce et le Tribunal du divorce est compétent pour prononcer leur modification aux conditions de l'art. 179 CC (art. 276 al. 2 CPC ; ATF 137 III 614 consid. 3.2.2; arrêts du Tribunal fédéral 5A_15/2014 du 28 juillet 2014 consid. 3 et 5A_562/2013 du 24 octobre 2013 consid. 3.1). Selon l'art. 179 al. 1 CC,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La modification des mesures provisoires ne peut être obtenue que si, depuis leur prononcé, les circonstances de fait ont changé d'une manière essentielle et durable (ATF 129 III 60 consid. 2 ; arrêts du Tribunal fédéral 5A_787/2017 du 28 novembre 2017 consid. 5.1 et 5A_732/2015 du 8 février 2016 consid. 2). Lorsqu'il admet que les conditions de l'art. 179 CC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 4.1.2 Lorsqu’il y a des enfants mineurs, le juge ordonne les mesures nécessaires, d’après les dispositions sur les effets de la filiation (art. 176 al. 3 CC).</w:t>
      </w:r>
    </w:p>
    <w:p>
      <w:r>
        <w:t>- 10/16 -</w:t>
      </w:r>
    </w:p>
    <w:p>
      <w:r>
        <w:t>C/17433/2017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notamment du conjoint (arrêt du Tribunal fédéral 5A_764/2017 du 7 mars 2018 consid. 4.1.3 et les réf. citées).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4.1.3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Le nouveau droit de l'entretien de l'enfant en pratique, RMA 2016, p. 429).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t>- 11/16 -</w:t>
      </w:r>
    </w:p>
    <w:p>
      <w:r>
        <w:t>C/17433/2017 L'une des méthodes de calcul en cas de situations financières modestes ou moyennes et tant que dure le mariage est celle dite du minimum vital, avec répartition de l'excédent (ATF 140 III 337 consid. 4.2.2; arrêts du Tribunal fédéral 5A_787/2016 du 12 janvier 2017 consid. 4.2.1; 5A_860/2013 du 29 janvier 2014 consid. 4.1 et 5A_547/2012 du 14 mars 2013 consid. 4.1).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126 III 8 consid. 3c; 121 I 97 consid. 3b; arrêt du Tribunal fédéral 5A_787/2016 du 12 janvier 2017 consid. 4.2.1). Une répartition différente est cependant possible lorsque l'un des époux doit subvenir aux besoins d'enfants mineurs communs (ATF 126 III 8 consid. 3c = SJ 2000 I 95) ou que des circonstances importantes justifient de s'en écarter (ATF 119 II 314 consid. 4b/bb = JdT 1996 I 197). 4.1.4 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2018, RS GE E 3 60.04 [ci-après : NI-2018]; arrêt du Tribunal fédéral 5P_127/2003 du 4 juillet 2003 consid. 3, in FamPra.ch 2003 p. 909; PICHONNAZ/ FOËX, in Commentaire Romand, Code civil I, 2010, n. 9 ad art. 176 CC). Le montant de base fixé par les normes d'insaisissabilité couvre forfaitairement,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etc. Il convient d'y ajouter les frais de logement, y compris l'entretien ordinaire de ce dernier et le chauffage, les primes d'assurance-maladie obligatoire, les frais de transport publics et les frais professionnels, tels que les frais de repas à l'extérieur (NI-2018, parties I et II; arrêt du Tribunal fédéral 5P.238/2005 du 28 novembre 2005 consid. 4.2.2; ACJC/1253/2016 du 23 septembre 2016 consid. 3.2; BASTONS BULLETTI, L'entretien après divorce : méthode de calcul, montant, durée et limites in SJ 2007 II p. 77 ss, p. 85 et 90). Un montant de 9 à 11 fr. par repas est admis sur présentation de justificatifs de dépenses supplémentaires pour les repas pris hors du domicile (NI-2018, ch. II.4.b).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w:t>
      </w:r>
    </w:p>
    <w:p>
      <w:r>
        <w:t>- 12/16 -</w:t>
      </w:r>
    </w:p>
    <w:p>
      <w:r>
        <w:t>C/17433/2017 (RC privée, ménage, complémentaires d'assurance maladie, protection juridique), ou encore la part de frais médicaux non couverte par l'assurance de base pour autant que leur caractère régulier soit établi (BASTONS BULLETTI, op. cit., p. 84 ss). Les frais médicaux non pris en charge par l'assurance-maladie obligatoire liés à des traitements ordinaires, nécessaires, en cours ou imminents, doivent en principe être pris en compte dans le calcul du minimum d'existence (ATF 129 III 242 consid. 4.2; arrêts du Tribunal fédéral 5A_991/2014 du 27 mai 2015 consid. 2.1; 5A_914/2010 du 10 mars 2011 consid. 5.2.1; 5A_664/2007 du 23 avril 2008 consid. 2.2.1 et 5P_233/2005 du 23 novembre 2005 consid. 3.4.3).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w:t>
      </w:r>
    </w:p>
    <w:p>
      <w:r>
        <w:rPr>
          <w:b/>
        </w:rPr>
        <w:t>E. 4.2</w:t>
      </w:r>
    </w:p>
    <w:p>
      <w:r>
        <w:t>En l'espèce, l'appelant ne reproche pas au premier juge d'avoir retenu que les circonstances avaient changé de manière essentielle et durable et qu'il se justifiait de revoir le montant des contributions d'entretien fixées en 2016. Il admet par ailleurs dans ses calculs le revenu et les charges de l'intimée ainsi que les charges des enfants tels qu'actualisés par le Tribunal. Au vu de la situation financière des parties, c'est à juste titre que le Tribunal a fait usage de la méthode du minimum vital avec répartition de l'excédent, dont l'application n'est pas contestée en appel, à l'exception du mode de répartition de l'excédent.</w:t>
      </w:r>
    </w:p>
    <w:p>
      <w:r>
        <w:rPr>
          <w:b/>
        </w:rPr>
        <w:t>E. 4.2.1</w:t>
      </w:r>
    </w:p>
    <w:p>
      <w:r>
        <w:t>S'agissant du revenu de l'appelant, il se justifie de prendre en compte son salaire mensuel net de 8'271 fr. pour l'année en cours, incluant son indemnité ______. En effet, en l'absence d'éléments contraires, l'appelant va vraisemblable- ment conserver le poste de ______ qu'il occupe actuellement et continuer à percevoir l'indemnité en découlant. Etant donné qu'il poursuit actuellement une activité politique rémunérée à hauteur de 306 fr. par mois, c'est à juste titre que le Tribunal a considéré que son salaire s'élevait à 8'577 fr. (8'271 fr. + 306 fr.). Quant à ses charges, les frais de repas pris à l'extérieur cinq jours par semaine dont se prévaut l'appelant ne seront pas admis, étant donné qu'il n'a produit aucun justificatif concernant ces dépenses. Ces frais apparaissent en tout état exagérés, compte tenu du fait qu'au moins trois jours par semaine, il [travaille] au J______, ce qui lui laisse le temps de prendre la majorité de ses repas de midi à son domicile de F______, sis dans la commune voisine. L'appelant souffre depuis plusieurs années de problèmes de santé nécessitant un suivi médical régulier. Il n'a toutefois pas documenté l'intégralité des frais de santé</w:t>
      </w:r>
    </w:p>
    <w:p>
      <w:r>
        <w:t>- 13/16 -</w:t>
      </w:r>
    </w:p>
    <w:p>
      <w:r>
        <w:t>C/17433/2017 de 267 fr. par mois dont il se prévaut. Il sera par conséquent tenu compte uniquement des factures produites pour l'année 2018, d'un total de 824 fr. (623 fr. pour des séances et des consultations et 201 fr. de frais de médicaments), soit 69 fr. par mois (824 fr. / 12). Dans la mesure où sa franchise annuelle s'élève à 2'500 fr., ces frais sont en effet à sa charge. Il convient encore d'ajouter les impôts, estimés à 1'400 fr. sur la base de la calculette mise en ligne par l'administration fiscale de l'Etat de Genève, en tenant compte du fait que l'appelant est séparé avec deux enfants à demi-charge, de son revenu net (8'577 fr. x 12 = 102'924 fr.), de la valeur locative brute de la villa (8'130 fr.), de ses primes d'assurance (3'600 fr.), des contributions d'entretien (27'500 fr.), de sa fortune brute immobilière (184'341 fr.) et de ses dettes hypothécaires (161'000 fr.). Par conséquent, les charges de l'appelant seront retenues à hauteur de 4'827 fr., comprenant son entretien de base selon les normes OP (1'200 fr.), son loyer (1'790 fr.), ses frais de transports publics (70 fr.), ses primes d'assurance maladie LAMal et LCA (non-obligatoire) (298 fr.), ses frais de santé non remboursés (69 fr.) et ses impôts (1'400 fr.).</w:t>
      </w:r>
    </w:p>
    <w:p>
      <w:r>
        <w:rPr>
          <w:b/>
        </w:rPr>
        <w:t>E. 4.2.2</w:t>
      </w:r>
    </w:p>
    <w:p>
      <w:r>
        <w:t>Il s'ensuit que le solde disponible de l'appelant s'élève à 3'750 fr. (8'577 fr. – 4'827 fr.), tandis que celui de l'intimée s'élève à 1'456 fr. (4'972 fr. - 3'516 fr.). Compte tenu du fait que l'intimée s'acquitte de son obligation d'entretien envers les enfants par les soins qu'elle leur voue en nature, il incombe à l'appelant de supporter l'intégralité de leurs besoins financiers. Après la couverture des besoins minimaux des enfants, le solde de l'appelant s'élève à 2'500 fr. (3'750 fr.. – 720 fr. – 530 fr.). Les montants minimaux qui précèdent doivent être majorés en fonction des soldes disponibles des parents pour assurer aux enfants un niveau de vie conforme aux ressources des parties. Le montant de cette majoration sera fixé à 520 fr. par enfant, portant ainsi la contribution due pour l'entretien de C______ à 1'240 fr. (720 fr. + 520 fr.) et à 1'050 fr. (530 fr. + 520 fr.) celle due pour l'entretien de D______. L'appelant disposera ainsi, après versement des contributions et couverture de ses propres charges, d'un solde disponible de 1'460 fr. (2'500 fr. – 1'040 fr.), similaire à celui de son épouse. Le jugement entrepris sera modifié en ce sens, étant précisé que le dies a quo du paiement des contributions d'entretien fixé au 1er février 2018 n'a pas été contesté par les parties et sera par conséquent confirmé.</w:t>
      </w:r>
    </w:p>
    <w:p>
      <w:r>
        <w:t>- 14/16 -</w:t>
      </w:r>
    </w:p>
    <w:p>
      <w:r>
        <w:t>C/17433/2017</w:t>
      </w:r>
    </w:p>
    <w:p>
      <w:r>
        <w:rPr>
          <w:b/>
        </w:rPr>
        <w:t>E. 5</w:t>
      </w:r>
    </w:p>
    <w:p>
      <w:r>
        <w:t>Les frais judiciaires d'appel seront arrêtés à 1'000 fr. (art. 31 et 37 RTFMC). Pour des motifs d'équité liés à la nature et à l'issue du litige, ils seront répartis par moitié entre les parties (art. 107 al. 1 let. c CPC). Ils seront partiellement compensés avec l'avance de frais de 800 fr. versée par l'appelant, laquelle reste acquise à l'Etat de Genève (art. 111 al. 1 CPC). L'intimée sera en conséquence condamnée à verser 200 fr. à l'Etat de Genève, soit pour lui les Services financiers du pouvoir judiciaire et à payer à l'appelant la somme de 300 fr. à titre de remboursement d'avance de frais (art. 111 al. 2 CPC). Vu la nature familiale du litige, chaque partie supportera ses propres dépens d'appel (art. 107 al. 1 let. c CPC). * * * * * *</w:t>
      </w:r>
    </w:p>
    <w:p>
      <w:r>
        <w:t>- 15/16 -</w:t>
      </w:r>
    </w:p>
    <w:p>
      <w:r>
        <w:t>C/17433/2017 PAR CES MOTIFS, La Chambre civile : A la forme : Déclare recevable l'appel interjeté le 4 juin 2018 par A______ contre l'ordonnance OTPI/309/2018 rendue le 17 mai 2018 par le Tribunal de première instance dans la cause C/17433/2017-13. Au fond : Annule le ch. 1 du dispositif de l'ordonnance entreprise et, statuant à nouveau sur ce point : Condamne A______ à verser en mains de son épouse B______, par mois et d'avance, allocations familiales non comprises, dès le 1er février 2018, un montant de 1'240 fr. à titre de contribution à l'entretien de leur fille C______ et un montant de 1'050 fr. à titre de contribution à l'entretien de leur fils D______. Confirme l'ordonnance querellée pour le surplus. Déboute les parties de toutes autres conclusions. Sur les frais : Arrête les frais judiciaires d'appel à 1'000 fr., les met à charge des parties à raison d'une moitié chacune et dit qu'ils sont partiellement compensés par l'avance de frais fournie et acquise à l'Etat de Genève. Condamne B______ à verser 200 fr. à l'Etat de Genève, soit pour lui les Services financiers du Pouvoir judiciaire au titre des frais judiciaires. Condamne B______ à verser 300 fr. à A______ au même titre. Dit que chaque partie supporte ses propres dépens d'appel. Siégeant : Monsieur Laurent RIEBEN, président; Monsieur Patrick CHENAUX; Madame Fabienne GEISINGER-MARIETHOZ, juges; Madame Sandra MILLET, greffière. Le président : Laurent RIEBEN</w:t>
      </w:r>
    </w:p>
    <w:p>
      <w:r>
        <w:t>La greffière : Sandra MILLET</w:t>
      </w:r>
    </w:p>
    <w:p>
      <w:r>
        <w:t>- 16/16 -</w:t>
      </w:r>
    </w:p>
    <w:p>
      <w:r>
        <w:t>C/17433/2017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