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ACJC/1333/2023 vom 6. Oktober 2023</w:t>
      </w:r>
    </w:p>
    <w:p>
      <w:r>
        <w:t>GE Cour de justice, 2023-10-06, FR</w:t>
      </w:r>
    </w:p>
    <w:p>
      <w:r>
        <w:rPr>
          <w:b/>
        </w:rPr>
        <w:t xml:space="preserve">Quelle: </w:t>
      </w:r>
      <w:r>
        <w:t>https://mcp.opencaselaw.ch/entscheid/ge_gerichte_ACJC_1333_2023</w:t>
      </w:r>
    </w:p>
    <w:p>
      <w:r>
        <w:t>FR: GE_GERICHTE ACJC/1333/2023 du 6 octobre 2023</w:t>
      </w:r>
    </w:p>
    <w:p>
      <w:r>
        <w:t>IT: GE_GERICHTE ACJC/1333/2023 del 6 ottobre 2023</w:t>
      </w:r>
    </w:p>
    <w:p>
      <w:pPr>
        <w:pStyle w:val="Heading2"/>
      </w:pPr>
      <w:r>
        <w:t>Erwägungen</w:t>
      </w:r>
    </w:p>
    <w:p>
      <w:r>
        <w:rPr>
          <w:b/>
        </w:rPr>
        <w:t>E. 1.1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 En l'espèce, les requêtes en rectification formées par les époux respectent ces conditions de forme, de sorte qu'elles sont de ces points de vue recevables. Par simplification, l'épouse sera désignée ci-après comme la requérante et l'époux comme le cité.</w:t>
      </w:r>
    </w:p>
    <w:p>
      <w:r>
        <w:rPr>
          <w:b/>
        </w:rPr>
        <w:t>E. 1.2</w:t>
      </w:r>
    </w:p>
    <w:p>
      <w:r>
        <w:t>La présente procédure ne permettant pas une modification de l'état de fait de la décision dont la rectification est requise, la pièce nouvellement versée au dossier par le cité ainsi que les faits qui s'y rapportent sont irrecevables.</w:t>
      </w:r>
    </w:p>
    <w:p>
      <w:r>
        <w:rPr>
          <w:b/>
        </w:rPr>
        <w:t>E. 2</w:t>
      </w:r>
    </w:p>
    <w:p>
      <w:r>
        <w:t>2.1.1 Selon l'art. 334 al. 1 CPC, si le dispositif de la décision est peu clair, contradictoire ou incomplet, ou s'il ne correspond pas à la motivation, le Tribunal procède, sur requête, ou d'office, à l'interprétation ou à la rectification de la décision. La procédure d'interprétation ou de rectification comporte deux étapes. Dans la première, il s'agit de déterminer si les conditions d'une interprétation ou d'une rectification du jugement sont réunies (ATF 143 III 520 consid. 6.1, arrêt du Tribunal fédéral 5D_192/2017 du 17 mai 2018 consid. 3.2). En principe, l'interprétation a pour objet le dispositif de l'arrêt, qui seul jouit de l'autorité de la chose jugée, et non ses motifs. Ceux-ci peuvent seulement servir à interpréter le dispositif. Ainsi, selon la jurisprudence relative à l'ancien droit, mais toujours applicable à l'art. 129 LTF,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du Tribunal fédéral 2C_724/2010 du 27 juillet 2011 consid. 2.2 et réf., RDAF 2012 II 37). L'interprétation a également pour but de rectifier des fautes de rédaction, de pures fautes de calcul ou des erreurs d'écriture que le dispositif contiendrait (arrêts du</w:t>
      </w:r>
    </w:p>
    <w:p>
      <w:r>
        <w:t>- 6/10 -</w:t>
      </w:r>
    </w:p>
    <w:p>
      <w:r>
        <w:t>C/16354/2021 Tribunal fédéral 1G_4/2012 du 30 avril 2012 consid. 1.1; 1G_1/2011 du 12 avril 2011 consid. 2; 5G_1/2008 du 17 novembre 2008 consid. 1.1; 4G_1/2007 du 13 septembre 2007 consid. 2.1). Néanmoins, l'interprétation peut aussi avoir pour objet les motifs de l'arrêt eux-mêmes lorsque le dispositif y renvoie et qu'ils participent de ce fait à l'ordre du juge (ATF 104 V 51 consid. 1; 110 V 222 consid. 1 et réf.; arrêt du Tribunal fédéral 5G_1/2012 du 4 juillet 2012 consid. 1.1). Le but de l'interprétation et de la rectification n'est pas de modifier la décision du tribunal, mais de la clarifier ou la rendre conforme avec le contenu réellement voulu par celui-ci.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 non publié in ATF 142 III 695). Si les conditions d'une interprétation ou d'une rectification du jugement sont réunies, il y a lieu, dans une seconde étape, de formuler un nouveau dispositif (ATF 143 III 520 consid. 6.2, arrêt précité 5D_192/2017 ibid.). 2.1.2 En revanche, la correction d'erreurs qui procèdent d'une mauvaise application du droit ou d'une constatation inexacte des faits doit être effectuée par la voie d'un recours (HERZOG, in Basler Kommentar, Schweizerische Zivilprozessordnung, 2017, n. 8 ad art. 334 CPC; OBERHAMMER, Kurzkommentar ZPO, 2014, n. 4 ad art. 334 CPC). L'interprétation et la rectification ne tendent pas à modifier le jugement rendu (JEANDIN, CR CPC, 2019, n° 20 ad Intro art. 308-334 CPC), à la manière d'un appel déguisé. Le juge saisi d'une demande d'interprétation ou de rectification ne doit donc pas changer le fond du jugement (SPÜHLER/DOLGE/GEHRI, Schweizerisches Zivilprozessrecht, 9ème éd. 2010, p. 389 n. 101).</w:t>
      </w:r>
    </w:p>
    <w:p>
      <w:r>
        <w:rPr>
          <w:b/>
        </w:rPr>
        <w:t>E. 2.2.1</w:t>
      </w:r>
    </w:p>
    <w:p>
      <w:r>
        <w:t>En l'espèce, en ce qui concerne la prise en charge des frais de scolarité de C______, la requérante sollicite que le dispositif de l'arrêt de la Cour du 16 juin 2023 soit rectifié afin qu'il soit donné acte au cité de son engagement à payer les frais d'écolage de leur fils également auprès de tout autre établissement en Suisse et/ou à l'étranger, y compris pour la période post-majorité, jusqu'à l'achèvement d'une formation poursuivie de manière sérieuse et régulière. Or, en l'occurrence, il résulte de l'état de fait de cet arrêt que le cité avait notamment conclu à ce qu'il lui soit donné acte de son engagement à s'acquitter</w:t>
      </w:r>
    </w:p>
    <w:p>
      <w:r>
        <w:t>- 7/10 -</w:t>
      </w:r>
    </w:p>
    <w:p>
      <w:r>
        <w:t>C/16354/2021 directement des factures liées à la scolarité de C______ (auprès de [l'école privée] D______) jusqu'à sa majorité, puis qu'il soit dit que ces frais seraient partagés par moitié entre les parents dès le 1er janvier 2024. Dans ses considérants en droit, la Cour a ainsi donné acte au père de son engagement sur ce point et l'y a condamné en tant que de besoin. Par ailleurs, dans la mesure où le cursus de C______ auprès de l'établissement précité n'allait prendre fin que courant 2024, soit postérieurement à sa majorité, il a été retenu que les frais d'écolage y relatifs resteraient également à la charge du cité, au vu de sa situation financière favorable. La Cour n'a aucunement statué au sujet du financement des éventuelles études que C______ entreprendrait par la suite, puisque les parties n'ont exposé aucun plan d'étude concret à cet égard. Aussi, les éventuels frais d'écolage du précité correspondraient à des besoins extraordinaires imprévus et limités dans le temps, sur lesquels il appartiendra aux parents de s'entendre avant toute dépense. Cette question a ainsi implicitement été traitée au consid. 12 de l'arrêt dont la rectification est requise. Il en résulte que l'arrêt de la Cour ne comporte aucune contradiction entre ses considérants et son dispositif. Il n'apparaît pas non plus que celui-ci soit peu clair ou lacunaire, ni que la motivation retenue ne soit pas compréhensible, ce que la requérante ne soutient d'ailleurs pas. La requérante conteste en réalité le contenu matériel de l'arrêt de la Cour. Or, un tel grief ne peut être soulevé que dans le cadre d'un recours en matière civile auprès du Tribunal fédéral. Au vu de ce qui précède, la requête de rectification de la requérante sera rejetée.</w:t>
      </w:r>
    </w:p>
    <w:p>
      <w:r>
        <w:rPr>
          <w:b/>
        </w:rPr>
        <w:t>E. 2.2.2</w:t>
      </w:r>
    </w:p>
    <w:p>
      <w:r>
        <w:t>En ce qui concerne la requête formée par le cité, il résulte de l'arrêt dont la rectification est requise que la Cour a expressément mentionné qu'elle allait se pencher sur la question des montants dus par une partie envers l'autre pour la période de septembre à décembre 2022. Après avoir déterminé que le cité avait, dans les faits, payé plus que ce qu'il devait en faveur des siens, sur la base des pensions alimentaires fixées, la Cour a décidé que ce montant serait affecté au paiement de la part d'impôts suisses 2021 de la requérante, une fois que les époux auraient reçu la taxation définitive y relative. Il a également été précisé que dans l'hypothèse où le trop perçu par la requérante pour la période de septembre à décembre 2022 ne lui suffirait pas pour couvrir sa part d'impôts due pour l'année 2021, le cité serait condamné à lui payer le solde.</w:t>
      </w:r>
    </w:p>
    <w:p>
      <w:r>
        <w:t>- 8/10 -</w:t>
      </w:r>
    </w:p>
    <w:p>
      <w:r>
        <w:t>C/16354/2021 La volonté réelle de la Cour était bien de déterminer si l'une des parties était redevable d'un montant envers l'autre, mais ce point a été inexactement exprimé dans le dispositif de son arrêt. Il n'y a cependant pas d'hésitation sur le fait que dans l'hypothèse où le montant versé en trop par le cité en faveur de la requérante serait supérieur au montant finalement dû par la précitée à titre d'impôts 2021, celle-ci ne pourrait pas conserver par devers elle le solde du trop-perçu. Il se justifie dès lors de compléter le dispositif de l'arrêt du 16 juin 2023 en ce sens qu'il soit dit que dans le cas où le montant de 38'252 fr. payé en trop par le cité en faveur de la requérante pour la période de septembre à décembre 2022 serait supérieur à la part d'impôts 2021 incombant à celle-ci, le cité serait autorisé à compenser le solde à due concurrence avec la pension alimentaire qu'il doit verser en faveur de celle-ci. En effet, l'omission de préciser ce point résulte d'une inadvertance manifeste qui peut être corrigée sans hésitation sur la base de ce qui a été retenu. Le dispositif de l'arrêt sera donc complété dans le sens qui précède.</w:t>
      </w:r>
    </w:p>
    <w:p>
      <w:r>
        <w:rPr>
          <w:b/>
        </w:rPr>
        <w:t>E. 3</w:t>
      </w:r>
    </w:p>
    <w:p>
      <w:r>
        <w:t>Les frais judiciaires relatifs à la requête en rectification formée par le cité seront laissés à la charge de l'Etat de Genève, vu l'issue de la procédure sur ce point. Les frais judiciaires relatifs à la requête formée par l'épouse seront en revanche arrêtés à 800 fr. (art. 44 RTFMC) et mis à la charge de cette dernière, qui succombe (art. 106 al. 1 CPC). Celle-ci devra dès lors s'acquitter de ce montant en mains des Services financiers du Pouvoir judiciaire (art. 111 al. 1 CPC). La requérante versera également au cité des dépens de 800 fr. (art. 105 al. 2 et 111 al. 2 CPC; art. 85 et 88 RTFMC), débours et TVA compris (art. 23 al. 1, 25 et 26 LaCC). * * * * *</w:t>
      </w:r>
    </w:p>
    <w:p>
      <w:r>
        <w:t>- 9/10 -</w:t>
      </w:r>
    </w:p>
    <w:p>
      <w:r>
        <w:t>C/16354/2021 PAR CES MOTIFS, La Chambre civile : A la forme : Déclare recevables les demandes de rectification formées les 14 et 28 juillet 2023 par A______ et B______ contre l'arrêt ACJC/830/2023 rendu par la Cour de justice le 16 juin 2023 dans la cause C/16354/2021. Au fond : Rejette la requête formée par A______. Admet la requête formée par B______. Complète en conséquence le dispositif de l'arrêt précité de la manière suivante : "Dit que dans le cas où le montant de 38'252 fr. payé en trop par B______ en faveur de A______ pour la période de septembre à décembre 2022 serait supérieur à la part d'impôts 2021 incombant à celle-ci, B______ est autorisé à compenser le solde à due concurrence avec la pension alimentaire qu'il doit verser en faveur de celle-ci." Déboute les parties de toutes autres conclusions. Sur les frais de rectification : Dit qu'il est statué sans frais sur la requête en rectification de B______. Arrête les frais judiciaires de la requête en rectification de A______ à 800 fr. et les met à sa charge. Condamne en conséquence A______ à verser 800 fr. aux Services financiers du Pouvoir judiciaire à titre de règlement des frais judiciaires. Condamne A______ à verser 800 fr. à B______ à titre de dépens. Siégeant : Madame Jocelyne DEVILLE-CHAVANNE, présidente; Madame Verena PEDRAZZINI RIZZI, Madame Nathalie LANDRY-BARTHE, juges; Madame Camille LESTEVEN, greffière. La présidente : Jocelyne DEVILLE-CHAVANNE</w:t>
      </w:r>
    </w:p>
    <w:p>
      <w:r>
        <w:t>La greffière : Camille LESTEVEN</w:t>
      </w:r>
    </w:p>
    <w:p>
      <w:r>
        <w:t>- 10/10 -</w:t>
      </w:r>
    </w:p>
    <w:p>
      <w:r>
        <w:t>C/16354/2021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