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ACJC/1332/2018 vom 23. Mai 2018</w:t>
      </w:r>
    </w:p>
    <w:p>
      <w:r>
        <w:t>GE Cour de justice, 2018-05-23, FR</w:t>
      </w:r>
    </w:p>
    <w:p>
      <w:r>
        <w:rPr>
          <w:b/>
        </w:rPr>
        <w:t xml:space="preserve">Quelle: </w:t>
      </w:r>
      <w:r>
        <w:t>https://mcp.opencaselaw.ch/entscheid/ge_gerichte_ACJC_1332_2018</w:t>
      </w:r>
    </w:p>
    <w:p>
      <w:r>
        <w:t>FR: GE_GERICHTE ACJC/1332/2018 du 23 mai 2018</w:t>
      </w:r>
    </w:p>
    <w:p>
      <w:r>
        <w:t>IT: GE_GERICHTE ACJC/1332/2018 del 23 maggio 2018</w:t>
      </w:r>
    </w:p>
    <w:p>
      <w:pPr>
        <w:pStyle w:val="Heading2"/>
      </w:pPr>
      <w:r>
        <w:t>Erwägungen</w:t>
      </w:r>
    </w:p>
    <w:p>
      <w:r>
        <w:rPr>
          <w:b/>
        </w:rPr>
        <w:t>E. 3</w:t>
      </w:r>
    </w:p>
    <w:p>
      <w:r>
        <w:t>Le recourant reproche au Tribunal d'avoir violé l'art. 82 LP en prononçant la mainlevée provisoire de l'opposition. Il se prévaut des mêmes arguments qu'en première instance.</w:t>
      </w:r>
    </w:p>
    <w:p>
      <w:r>
        <w:t>3.1.1 Le créancier dont la poursuite se fonde sur une reconnaissance de dette constatée par acte authentique ou sous seing privé peut requérir la mainlevée provisoire (art. 82 al. 1 LP).</w:t>
      </w:r>
    </w:p>
    <w:p>
      <w:r>
        <w:t>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w:t>
      </w:r>
    </w:p>
    <w:p>
      <w:r>
        <w:t>- 7/11 -</w:t>
      </w:r>
    </w:p>
    <w:p>
      <w:r>
        <w:t>C/16591/2017</w:t>
      </w:r>
    </w:p>
    <w:p>
      <w:r>
        <w:t>La reconnaissance de dette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2010, n° 15 ad art. 82 LP).</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arrêts du Tribunal fédéral 5A_467/2015 du 25 août 2016 consid. 4 et 5A_884/2014 du 30 janvier 2015 consid. 5.2).</w:t>
      </w:r>
    </w:p>
    <w:p>
      <w:r>
        <w:t>3.1.2 Aux termes de l'art. 116 CO, la novation ne se présume pas (al. 1). En particulier, elle ne résulte pas, sauf convention contraire, de la souscription d'un engagement de change en raison d'une dette existante, ni de la signature d'un nouveau titre de créance ou d'un nouvel acte de cautionnement (al. 2).</w:t>
      </w:r>
    </w:p>
    <w:p>
      <w:r>
        <w:t>La novation suppose la volonté de créer une nouvelle dette en lieu et place de la précédente, ce qui est une question d'interprétation (ATF 126 III 375).</w:t>
      </w:r>
    </w:p>
    <w:p>
      <w:r>
        <w:t>Cela étant, n'ont pas d'effet novatoire les simples modifications qui, sans toucher la nature de l'obligation initiale, modifient le montant de la dette, sa durée, le taux d'intérêt ou les sûretés constituées en faveur du créancier (ATF 131 III 586 consid. 4.2.3.3; arrêt du Tribunal fédéral 5A_190/2009 du 27 mai 2009 consid. 3.3).</w:t>
      </w:r>
    </w:p>
    <w:p>
      <w:r>
        <w:t>La transaction extrajudiciaire n'emporte en principe pas d'effet novatoire sur l'ancienne obligation litigieuse et transigée. Si les parties entendent attribuer un effet novatoire à leur transaction, elles doivent dès lors clairement l'indiquer dans leur accord, faute de quoi la transaction a pour seul effet de donner à l'ancienne obligation, subsistante, des modalités nouvelles lui assignant un caractère définitif (ATF 138 III 570 consid. 2.1; ATF 135 V 124 consid. 4.2; 126 III 375 consid. 2e/bb; arrêt du Tribunal fédéral 5A_949/2014 du 21 juillet 2015</w:t>
      </w:r>
    </w:p>
    <w:p>
      <w:r>
        <w:t>- 8/11 -</w:t>
      </w:r>
    </w:p>
    <w:p>
      <w:r>
        <w:t>C/16591/2017 consid. 3.4.2; TERCIER/BIERI/CARRON, Les contrats spéciaux, 2016, n° 7528; PIOTET, in Commentaire romand CO I, 2012, n° 4 ad art. 116 CO).</w:t>
      </w:r>
    </w:p>
    <w:p>
      <w:r>
        <w:rPr>
          <w:b/>
        </w:rPr>
        <w:t>E. 3.2</w:t>
      </w:r>
    </w:p>
    <w:p>
      <w:r>
        <w:t>En l'occurrence, par courriers des 24 mai et 7 juin 2017, le recourant a expressément reconnu devoir les montants figurant dans les factures n° 2______ et 3______ initialement envoyées par l'intimée, soit 84'000 USD et 47'000 fr. payables à réception Ces courriers ont été signés par le conseil du recourant, engageant ainsi valablement ce dernier. Dans son courriel du 16 décembre 2016, le recourant n'a d'ailleurs pas contesté les montants facturés les 8 et 9 décembre 2016. Bien que les courriels produits par les parties ne comportent pas de signature électronique, ils émanent tous des adresses électroniques de ces dernières ou de leur conseil et il n'est pas contesté qu'ils ont été rédigés par eux.</w:t>
      </w:r>
    </w:p>
    <w:p>
      <w:r>
        <w:t>Dès lors, les factures n° 2______ et 3______ envoyées les 8 et 9 décembre 2016 au recourant, ainsi que la correspondance échangée entre les parties, valent reconnaissance de dette.</w:t>
      </w:r>
    </w:p>
    <w:p>
      <w:r>
        <w:t>Le recourant soutient que l'accord conclu le 14 juin 2017 entre les parties a eu un effet novatoire, de sorte que les montants dus n'étaient pas exigibles le 22 juin 2017 lors de la notification du commandement de payer litigieux. Selon lui, conformément à cet accord, lesdits montants n'étaient exigibles qu'à partir du 23 juin 2017.</w:t>
      </w:r>
    </w:p>
    <w:p>
      <w:r>
        <w:t>Or, par courriel du 12 juin 2017, l'intimée a uniquement accepté de maintenir les rabais de 300 USD et 504 fr. initialement accordés, précisant au recourant que le paiement devait intervenir dans les deux jours. Par courriel du 14 juin 2017, ce dernier a sollicité une échéance au 23 juin 2017 pour effectuer ledit paiement, ce que l'intimée a accepté le jour même.</w:t>
      </w:r>
    </w:p>
    <w:p>
      <w:r>
        <w:t>Il s'ensuit que l'accord du 14 juin 2017 n'a pas eu pour vocation de créer une nouvelle source de l'obligation du recourant envers l'intimée, mais a simplement réduit le montant de la créance et modifié une modalité du paiement. A défaut d'indication contraire, cet accord n'a donc pas eu d'effet novatoire. Contrairement à ce que soutient le recourant, les créances résultant des factures initiales n° 2______ et 3______ des 8 et 9 décembre 2016, payables à réception, étaient donc exigibles avant le 23 juin 2017.</w:t>
      </w:r>
    </w:p>
    <w:p>
      <w:r>
        <w:t>Comme indiqué supra, le recourant s'est engagé, sans réserve ni condition, à payer les sommes de 84'000 USD et 47'000 fr., soit celles requises selon les factures initiales, qui incluaient les rabais de 300 USD et 504 fr., ce que l'intimée a finalement accepté.</w:t>
      </w:r>
    </w:p>
    <w:p>
      <w:r>
        <w:t>Le jugement entrepris, qui n'a pas tenu compte desdits rabais, sera donc annulé.</w:t>
      </w:r>
    </w:p>
    <w:p>
      <w:r>
        <w:t>- 9/11 -</w:t>
      </w:r>
    </w:p>
    <w:p>
      <w:r>
        <w:t>C/16591/2017</w:t>
      </w:r>
    </w:p>
    <w:p>
      <w:r>
        <w:t>La cause étant en état d'être jugée par la Cour (art. 327 al. 3 let. b CPC), il sera statué à nouveau en ce sens que la mainlevée provisoire de l'opposition formée au commandement de payer, poursuite n° 1______, sera accordée à concurrence de 82'019 fr. (correspondant à 84'000 USD au taux de 0.976 en vigueur au 24 mai 2017 - cf. http://fxtop.com/fr/conversion-devises-date-passee - et de 47'000 fr.), avec intérêts à 5% dès le 10 décembre 2016.</w:t>
      </w:r>
    </w:p>
    <w:p>
      <w:r>
        <w:rPr>
          <w:b/>
        </w:rPr>
        <w:t>E. 4</w:t>
      </w:r>
    </w:p>
    <w:p>
      <w:r>
        <w:t>En l'espèce, le recourant succombe sur le principe et obtient gain de cause sur une faible partie de ses conclusions. Il se justifie dès lors qu'il supporte les trois quarts des frais judiciaires de première et de seconde instance, le quart restant étant à la charge de l'intimée (art. 106 al. 2 CPC). Ces frais seront arrêtés à respectivement 750 fr. et 1'125 fr., soit à un total de 1'875 fr. (art. 41 et 68 OELP), couvert par les avances effectuées par les parties, acquises à l'Etat de Genève (art. 111 al. 1 CPC). Le recourant remboursera ainsi l'intimée à hauteur de 281 fr. [1/4 de 1'875 fr. = 469 fr.; 750 fr. – 469 fr. = 281 fr.].</w:t>
      </w:r>
    </w:p>
    <w:p>
      <w:r>
        <w:t>Vu l'issue du litige, les dépens de première et seconde instance, arrêtés à respectivement 2'900 fr. et 1'000 fr., débours et TVA inclus, seront également répartis à raison de trois quart (soit 2'925 fr.) à la charge du recourant et à raison d'un quart (soit 975 fr.) à la charge de l'intimée (art. 85, 88, 89 et 90 RTFMC, art. 23, 25 et 26 LaCC). * * * * *</w:t>
      </w:r>
    </w:p>
    <w:p>
      <w:r>
        <w:t>- 10/11 -</w:t>
      </w:r>
    </w:p>
    <w:p>
      <w:r>
        <w:t>C/16591/2017 PAR CES MOTIFS, La Chambre civile : A la forme : Déclare recevable le recours interjeté le 4 juin 2018 par A______ contre le jugement JTPI/8089/2018 rendu le 23 mai 2018 par le Tribunal de première instance dans la cause C/16591/2017-14 SML. Au fond : Annule ce jugement et, statuant à nouveau : Prononce la mainlevée provisoire de l'opposition formée au commandement de payer, poursuite n° 1______, à concurrence de 82'019 fr. (correspondant à 84'000 USD au taux de 0.976 en vigueur au 24 mai 2017) et de 47'000 fr., avec intérêts à 5% dès le 10 décembre 2016. Déboute les parties de toutes autres conclusions. Sur les frais : Arrête les frais judiciaires de première instance et de recours à 1'875 fr., les met à la charge de A______ à raison de 1'406 fr. et à la charge de B______ à raison de 469 fr. et dit qu'ils sont entièrement compensés avec les avances fournies par les parties, lesquelles restent acquises à l'Etat. Condamne A______ à verser à B______ la somme de 281 fr. à titre de remboursement de l'avance fournie. Condamne A______ à verser à B______ la somme de 2'925 fr. à titre de dépens de première instance et de recours. Condamne B______ à verser à A______ la somme de 975 fr. à titre de dépens de première instance et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- 11/11 -</w:t>
      </w:r>
    </w:p>
    <w:p>
      <w:r>
        <w:t>C/16591/2017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