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ACJC/1331/2017 vom 16. Oktober 2017</w:t>
      </w:r>
    </w:p>
    <w:p>
      <w:r>
        <w:t>GE Cour de justice, 2017-10-16, FR</w:t>
      </w:r>
    </w:p>
    <w:p>
      <w:r>
        <w:rPr>
          <w:b/>
        </w:rPr>
        <w:t xml:space="preserve">Quelle: </w:t>
      </w:r>
      <w:r>
        <w:t>https://mcp.opencaselaw.ch/entscheid/ge_gerichte_ACJC_1331_2017</w:t>
      </w:r>
    </w:p>
    <w:p>
      <w:r>
        <w:t>FR: GE_GERICHTE ACJC/1331/2017 du 16 octobre 2017</w:t>
      </w:r>
    </w:p>
    <w:p>
      <w:r>
        <w:t>IT: GE_GERICHTE ACJC/1331/2017 del 16 ottobre 2017</w:t>
      </w:r>
    </w:p>
    <w:p>
      <w:pPr>
        <w:pStyle w:val="Heading2"/>
      </w:pPr>
      <w:r>
        <w:t>Erwägungen</w:t>
      </w:r>
    </w:p>
    <w:p>
      <w:r>
        <w:rPr>
          <w:b/>
        </w:rPr>
        <w:t>E. 1.1</w:t>
      </w:r>
    </w:p>
    <w:p>
      <w:r>
        <w:t>L'ordonnance querellée constitue une décision sur mesures provisionnelles (art. 308 al. 1 let. b CPC) rendue dans une affaire patrimoniale (cf. BOHNET, CPC annoté, 2016, n. 10 ad art. 91 CPC).</w:t>
      </w:r>
    </w:p>
    <w:p>
      <w:r>
        <w:t>Une telle décision est susceptible de faire l'objet d'un appel pour autant que la valeur litigieuse au dernier état des conclusions prises devant l'autorité de première instance atteint 10'000 fr. (art. 308 al. 2 CO), ce qui est le cas en l'espèce. Il convient en effet d'admettre que la requête de l'appelant tend soit à préserver la fortune de la société intimée, dont le capital-actions est de 100'000 fr., soit à conserver la valeur nominale de ses actions, d'un montant de 34'000 fr. Au demeurant, tant l'appelant, en optant pour la voie de l'appel, que l'intimée, en ne remettant pas en cause la recevabilité de celui-ci, admettent implicitement que la valeur litigieuse atteint 10'000 fr. (cf. art. 91 al. 2 CPC).</w:t>
      </w:r>
    </w:p>
    <w:p>
      <w:r>
        <w:t>L'appel a pour le surplus été formé après de l'autorité compétente (art. 120 al. 1 let. a LOJ), dans le délai utile de 10 jours (art. 142 al. 3, 248 let. d et 314 al. 1 CPC) et respecte les exigences de forme prescrites par la loi (art. 130, 131 et 311 CPC). Sa recevabilité sera par conséquent admise. Déposées dans les formes et délais prescrits (art. 312, 314 al. 1 et 316 al. 2 CPC), la réponse et la duplique de l'intimée ainsi que la réplique de l'appelant seront également déclarées recevables.</w:t>
      </w:r>
    </w:p>
    <w:p>
      <w:r>
        <w:rPr>
          <w:b/>
        </w:rPr>
        <w:t>E. 1.2</w:t>
      </w:r>
    </w:p>
    <w:p>
      <w:r>
        <w:t>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w:t>
      </w:r>
    </w:p>
    <w:p>
      <w:r>
        <w:rPr>
          <w:b/>
        </w:rPr>
        <w:t>E. 2.1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Les faits et moyens de preuve qui ne sont survenus qu’après la fin des débats principaux, soit après la clôture des plaidoiries finales (cf. ATF 138 III 788 consid. 4.2; TAPPY, Code de procédure civile commenté, BOHNET/HALDY/</w:t>
      </w:r>
    </w:p>
    <w:p>
      <w:r>
        <w:t>- 9/15 -</w:t>
      </w:r>
    </w:p>
    <w:p>
      <w:r>
        <w:t>C/5090/2017 JEANDIN/SCHWEIZER/TAPPY [éd.], 2011, n. 11 ad art. 229 CPC), sont ainsi en principe toujours admissibles en appel, pourvu qu’ils soient invoqués sans retard dès leur découverte (arrêts du Tribunal fédéral 5A_621/2012 du 20 mars 2013 consid. 5.1 et 4A_643/2011 du 24 février 2012 consid. 3.2.2).</w:t>
      </w:r>
    </w:p>
    <w:p>
      <w:r>
        <w:rPr>
          <w:b/>
        </w:rPr>
        <w:t>E. 2.2</w:t>
      </w:r>
    </w:p>
    <w:p>
      <w:r>
        <w:t>En l'espèce, la pièce no 31 produite par l'intimée est recevable, dès lors qu'elle atteste de faits survenus après la clôture des débats principaux de première instance, intervenue le 24 avril 2017 et que, jointe au mémoire de réponse, elle a été déposée sans retard.</w:t>
      </w:r>
    </w:p>
    <w:p>
      <w:r>
        <w:rPr>
          <w:b/>
        </w:rPr>
        <w:t>E. 3.1</w:t>
      </w:r>
    </w:p>
    <w:p>
      <w:r>
        <w:t>L'appelant reproche au premier juge d'avoir considéré qu'il n'était pas rendu vraisemblable que l'atteinte portée à ses droits d'actionnaire était susceptible de lui causer un préjudice difficilement réparable, précisant que sa crainte ne résidait pas dans le fait que des décisions contraires à ses intérêts puissent être prises lors d'assemblées générales auxquelles il n'aurait pas été convoqué, puisque de telles décisions seraient nulles, mais dans les effets préjudiciables que pourrait avoir leur inscription illicite au Registre du commerce compte tenu de la confiance accordée par les tiers à ces inscriptions. Il fait valoir que le fait qu'il ne soit pas actionnaire majoritaire de l'intimée n'exclut pas le risque de préjudice difficilement réparable, les décisions de l'assemblée générale prises sans qu'il soit convoqué demeurant nulles et les inscriptions au Registre du commerce fondées sur de telles décisions illicites. Sa participation de 34% au capital-actions de l'intimée lui permet au demeurant de bloquer toutes les décisions nécessitant une majorité qualifiée, soit celles listées à l'art. 704 CO, certaines fusions, les scissions et les transformations, dont l'inscription au Registre du commerce est constitutive et qui sont par essence de nature à porter une atteinte irréparable aux droits des actionnaires minoritaires. En outre, il ne peut être inféré de son absence d'opposition à la vente de ses actions à C______ qu'il aurait renoncé à ses droits sociaux jusqu'au transfert effectif desdites actions, lequel n'interviendra vraisemblablement que dans plusieurs années compte du tenu du litige judiciaire existant au sujet du prix de vente de celles-ci. Il ne peut également pas lui être reproché de ne pas avoir participé aux assemblées générales de l'intimée, dès lors que, d'une part, le fait pour un actionnaire de ne pas prendre part à ces assemblées ne saurait le priver de son droit d'y participer à l'avenir et que, d'autre part, il n'a pas été convoqué auxdites assemblées ni informé de leur tenue. Par ailleurs, le fait que les décisions prises par l'assemblée générale de l'intimée ne lui aient jusqu'ici causé aucun dommage est sans pertinence, seul devant être examiné le risque que soient inscrites au Registre du commerce de nouvelles décisions susceptibles de lui causer un préjudice difficilement réparable. Or, un tel risque est vraisemblable compte tenu du litige qui l'oppose à l'actionnaire majoritaire de l'intimée. Enfin, l'intimée adopte un comportement contraire aux règles de la bonne foi et commet un abus de droit en invoquant qu'il ne se prévaut d'aucun préjudice concret dès lors qu'elle</w:t>
      </w:r>
    </w:p>
    <w:p>
      <w:r>
        <w:t>- 10/15 -</w:t>
      </w:r>
    </w:p>
    <w:p>
      <w:r>
        <w:t>C/5090/2017 est responsable de cette situation puisqu'en ne le convoquant pas à ses assemblées générales elle l'empêche de requérir des mesures provisionnelles contre une décision déterminée et en conséquence de démontrer l'existence d'un préjudice concret. Une décision fondée sur cet argument serait au demeurant également contraire aux règles de la bonne foi puisqu'elle permettrait à l'intimée de retirer un avantage de son comportement illicite.</w:t>
      </w:r>
    </w:p>
    <w:p>
      <w:r>
        <w:t>L'appelant reproche également au premier juge d'avoir considéré que la condition de l'urgence n'était pas réalisée, faisant valoir que cette condition s'examine au regard du comportement futur et non antérieur des parties, des mesures provisionnelles pouvant être requises tant que le préjudice subsiste, et qu'en matière de blocage du Registre du commerce l'urgence provient de l'effet même de l'inscription et du risque de préjudice difficilement réparable qui en résulte. En tout état, il soutient ne pas avoir tardé à faire valoir ses droits, puisqu'après avoir constaté que l'intimée ne l'avait pas convoqué à son assemblée générale de l'année 2016 malgré l'arrêt du Tribunal fédéral du 14 avril 2015 confirmant sa qualité d'actionnaire jusqu'ici contestée, il avait décidé d'agir par voie de mesures provisionnelles avant la convocation de l'assemblée générale de l'année 2017 afin de s'assurer que ses droits d'actionnaire soient désormais respectés.</w:t>
      </w:r>
    </w:p>
    <w:p>
      <w:r>
        <w:t>3.2.1 Selon l'art. 162 al. 1 ORC, si des tiers forment opposition par écrit contre une inscription, l'office du registre du commerce sursoit à l'inscription au registre journalier (blocage du registre). L'opposant dispose, une fois le blocage requis, d'un délai de 10 jours pour déposer une requête de mesures provisionnelles devant le juge compétent. A défaut le blocage prend fin (art. 162 al. 3 let. a ORC).</w:t>
      </w:r>
    </w:p>
    <w:p>
      <w:r>
        <w:t>Une opposition "en bloc" à toutes futures inscriptions relatives à une société déterminée peut être admissible (FONTANET/JEANDIN, Le blocage du registre du commerce et sa validation, in: Notalex 2016, p. 56-57 et la réf. citée; HARI/HÄNNI, Quelques procédures particulières du droit de la société anonyme, in: La personne morale et l'entreprise en procédure, 2014, p. 118 et la réf. citée). Le blocage du registre a pour seul effet de surseoir - à titre provisoire - à l'inscription visée par l'opposition. Il empêche la publication de l'inscription et les effets qui en découlent. Les décisions dont l'inscription au registre est constitutive ne produisent ainsi pas d'effet et celles dont l'inscription n'a qu'un effet déclaratif sont privées de la protection qui y est liée (FONTANET/JEANDIN, op. cit., p. 58; HARI/HÄNNI, op. cit., p. 118-119).</w:t>
      </w:r>
    </w:p>
    <w:p>
      <w:r>
        <w:t>Le juge des mesures provisionnelles décide sans délai du blocage du registre dans une procédure sommaire (art. 162 al. 4 ORC). Le rejet de la requête de mesures provisionnelles par une décision exécutoire met fin au blocage. L'office du registre du commerce procède à l'inscription litigieuse (art. 162 al. 3 let. b ORC).</w:t>
      </w:r>
    </w:p>
    <w:p>
      <w:r>
        <w:t>- 11/15 -</w:t>
      </w:r>
    </w:p>
    <w:p>
      <w:r>
        <w:t>C/5090/2017</w:t>
      </w:r>
    </w:p>
    <w:p>
      <w:r>
        <w:t>Une décision de refus d'octroi d'une mesure provisionnelle de blocage du registre du commerce est exécutoire au jour de son prononcé à moins que l'instance supérieure ne restitue l'effet suspensif (art. 315 al. 4 let. b et 336 al. 1 let. a CPC; FONTANET/JEANDIN, op. cit., p. 63).</w:t>
      </w:r>
    </w:p>
    <w:p>
      <w:r>
        <w:t>3.2.2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(STUCKI/PACHUD, Le régime des décisions superprovisionnelles et provisionnelles du Code de procédure civile, SJ 2015 II 1 ss, p. 3).</w:t>
      </w:r>
    </w:p>
    <w:p>
      <w:r>
        <w:t>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w:t>
      </w:r>
    </w:p>
    <w:p>
      <w:r>
        <w:t>- 12/15 -</w:t>
      </w:r>
    </w:p>
    <w:p>
      <w:r>
        <w:t>C/5090/2017 difficile à mesurer ou à compenser entièrement (arrêt du Tribunal fédéral 4A_611/2011 du 3 janvier 2012 consid. 4.1).</w:t>
      </w:r>
    </w:p>
    <w:p>
      <w:r>
        <w:t>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Si le droit de requérir des mesures provisionnelles ne se périme pas, la temporisation du requérant durant plusieurs mois à dater de la connaissance du dommage ou du risque peut signifier qu'une protection n'est pas nécessaire, voire constituer un abus de droit (arrêt du Tribunal fédéral 4P.263/2004 du 1er février 2005 consid. 2.2). Une requête de mesures provisionnelles sera en particulier rejetée s'il s'avère qu'une procédure ordinaire introduite à temps aurait abouti à un jugement au fond dans des délais équivalents (BOHNET, op. cit., n. 12 ad art. 261 CPC et les réf. citées).</w:t>
      </w:r>
    </w:p>
    <w:p>
      <w:r>
        <w:t>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w:t>
      </w:r>
    </w:p>
    <w:p>
      <w:r>
        <w:t>La non réalisation des conditions à l'octroi de mesures provisionnelles conduit au rejet de la requête (ACJC/1471/2015 du 4 décembre 2015 consid. 3.1.1; ACJC/250/2015 du 6 mars 2015 consid. 4.1; ACJC/1610/2014 du 19 décembre 2014).</w:t>
      </w:r>
    </w:p>
    <w:p>
      <w:r>
        <w:rPr>
          <w:b/>
        </w:rPr>
        <w:t>E. 3.3</w:t>
      </w:r>
    </w:p>
    <w:p>
      <w:r>
        <w:t>En l'espèce, au vu des précédentes décisions rendues dans les procédures ayant opposé les parties, c'est à juste titre que le premier juge a retenu que l'appelant avait rendu vraisemblable sa qualité d'actionnaire de la société intimée, ce qui n'est d'ailleurs plus litigieux au stade de l'appel. Or, il est constant que cette qualité lui donne le droit de prendre part aux assemblées générales de ladite société.</w:t>
      </w:r>
    </w:p>
    <w:p>
      <w:r>
        <w:t>Il doit également être admis, à l'instar de l'autorité précédente, que l'existence d'une atteinte au droit de l'appelant de participer aux assemblées générales de la société intimée a été rendue vraisemblable, cette dernière ne contestant pas ne pas respecter le mode de convocation des assemblées générales prévu par ses statuts, procédant à la tenue d'assemblées générales universelles auxquelles l'appelant n'est pas convoqué. La dernière atteinte coïncide avec le dépôt de la requête de mesures provisionnelles, une assemblée générale universelle ayant eu lieu au mois de mars 2017 sans que l'appelant n'y soit convié.</w:t>
      </w:r>
    </w:p>
    <w:p>
      <w:r>
        <w:t>- 13/15 -</w:t>
      </w:r>
    </w:p>
    <w:p>
      <w:r>
        <w:t>C/5090/2017</w:t>
      </w:r>
    </w:p>
    <w:p>
      <w:r>
        <w:t>Une mesure provisionnelle ne peut cependant être accordée que dans la perspective de l'action au fond qui doit la valider et dont elle est l'accessoire. Or, l'appelant ne donne aucune indication sur le type d'action qu'il envisage d'introduire au fond afin de valider les mesures provisionnelles requises, respectivement sur les prétentions qu'il a l'intention de faire valoir. Il ne peut en effet être considéré que lesdites mesures entrent dans le cadre de la procédure l'opposant à C______, qui n'a pas pour objet la protection de ses droits sociaux et à laquelle l'intimée n'est pas partie. Il ne peut ainsi pas être examiné si les mesures provisionnelles sollicitées sont compatibles avec ce qui pourrait être ordonné dans le cadre d'un jugement au fond ni si elles permettront d'éviter à l'appelant d'être exposé à un préjudice difficilement réparable avant le prononcé dudit jugement. Au demeurant, C______ a racheté les actions de l'appelant qui en perdra la propriété à l'issue de la procédure, pendante depuis 2014, destinée à en régler les conditions de transfert. Il est ainsi peu probable qu'un jugement au fond validant les mesures provisionnelles requises puisse intervenir avant la fin de la procédure opposant C______ à l'appelant. Pour ces motifs déjà, il est douteux qu'une suite favorable puisse être donnée à la requête de mesures provisionnelles de l'appelant.</w:t>
      </w:r>
    </w:p>
    <w:p>
      <w:r>
        <w:t>Cela étant, l'appelant ne rend en tout état pas vraisemblable que la condition de l'urgence est remplie. Il ressort du dossier que l'intimée ne convoque plus l'appelant à ses assemblées générales depuis qu'elle l'a licencié avec effet immédiat en date du 13 octobre 2009, soit depuis environ 8 ans, contestant sa qualité d'actionnaire. Or, bien que l'appelant ait obtenu à la fin du mois d'octobre 2012 une décision judiciaire reconnaissant sa qualité d'actionnaire de l'intimée, il n'a entrepris aucune démarche afin que son droit de prendre part aux assemblées générales de la société soit respecté. Contrairement à ce qu'il soutient, le fait que l'intimée a, postérieurement à la décision judiciaire du mois d'octobre 2012, continué - et continue encore actuellement - à contester son actionnariat ne l'empêchait nullement de solliciter la protection de son droit. Preuve en est que peu après que sa qualité d'actionnaire a été reconnue, l'appelant a introduit une action judicaire afin d'obtenir la mise en œuvre de son droit d'actionnaire à la consultation des documents sociaux. L'appelant ne peut pas non plus être suivi lorsqu'il fait valoir que son comportement antérieur est sans pertinence dans l'examen de la condition de l'urgence tant qu'un risque d'atteinte existe, une telle position étant contraire à la jurisprudence susmentionnée selon laquelle une trop longue attente avant de faire valoir ses droits peut signifier qu'une protection n'est pas nécessaire.</w:t>
      </w:r>
    </w:p>
    <w:p>
      <w:r>
        <w:t>Ainsi, il convient d'admettre que le fait que l'appelant ait, avant de solliciter les mesures provisionnelles litigieuses, toléré durant plusieurs années que la société intimée porte atteinte à son droit de participer aux assemblées générales démontre que ces mesures ne s'imposent pas avec urgence.</w:t>
      </w:r>
    </w:p>
    <w:p>
      <w:r>
        <w:t>- 14/15 -</w:t>
      </w:r>
    </w:p>
    <w:p>
      <w:r>
        <w:t>C/5090/2017</w:t>
      </w:r>
    </w:p>
    <w:p>
      <w:r>
        <w:t>Par ailleurs, l'éventuelle urgence résultant du blocage opéré au Registre du commerce sur requête de l'appelant n'existe plus, cette mesure ayant pris fin lors du prononcé de l'ordonnance entreprise, l'appel dirigé contre une décision de refus d'octroi d'une mesure provisionnelle de blocage du Registre du commerce n'ayant pas d'effet suspensif. Le changement d'organe décidé lors de l'assemblée générale du mois de mars 2017 a ainsi été inscrit au Registre du commerce en date du ______ septembre 2017.</w:t>
      </w:r>
    </w:p>
    <w:p>
      <w:r>
        <w:t>Partant, faute pour l'appelant d'avoir rendu vraisemblable l'existence d'une urgence nécessitant une protection immédiate, l'ordonnance querellée sera confirmée.</w:t>
      </w:r>
    </w:p>
    <w:p>
      <w:r>
        <w:rPr>
          <w:b/>
        </w:rPr>
        <w:t>E. 4</w:t>
      </w:r>
    </w:p>
    <w:p>
      <w:r>
        <w:t>Les frais judiciaires de la procédure d'appel, comprenant l'émolument relatif à la décision sur effet suspensif, seront arrêtés à 800 fr. (art. 26 et 37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w:t>
      </w:r>
    </w:p>
    <w:p>
      <w:r>
        <w:t>L'appelant sera par ailleurs condamné à s'acquitter des dépens de l'intimée, lesquels seront arrêtés à 1'000 fr., débours et TVA inclus (art. 84, 85, 87, 88 et 90 RTFMC; art. 25 et 26 LaCC). * * * * *</w:t>
      </w:r>
    </w:p>
    <w:p>
      <w:r>
        <w:t>- 15/15 -</w:t>
      </w:r>
    </w:p>
    <w:p>
      <w:r>
        <w:t>C/5090/2017 PAR CES MOTIFS, La Chambre civile : A la forme : Déclare recevable l'appel interjeté le 10 juillet 2017 par A______ contre l'ordonnance OTPI/312/2017 rendue le 22 juin 2017 par le Tribunal de première instance dans la cause C/5090/2017-2 SP. Au fond : Confirme cette ordonnance. Déboute les parties de toutes autres conclusions. Sur les frais : Arrête les frais judiciaires de l'appel à 800 fr. et dit qu'ils sont entièrement compensés avec l'avance de frais fournie par A______, laquelle reste acquise à l'Etat de Genève. Met ces frais à la charge de A______. Condamne A______ à verser à B______ la somme de 1'000 fr. à titre de dépens d'appel. Siégeant : Madame Pauline ERARD, présidente; Madame Sylvie DROIN et Madame Nathalie LANDRY-BARTHE, juges; Monsieur David VAZQUEZ, commis-greffier.</w:t>
      </w:r>
    </w:p>
    <w:p>
      <w:r>
        <w:t>La présidente : Pauline ERARD</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