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ACJC/1330/2014 vom 2. Juli 2014</w:t>
      </w:r>
    </w:p>
    <w:p>
      <w:r>
        <w:t>GE Cour de justice, 2014-07-02, FR</w:t>
      </w:r>
    </w:p>
    <w:p>
      <w:r>
        <w:rPr>
          <w:b/>
        </w:rPr>
        <w:t xml:space="preserve">Quelle: </w:t>
      </w:r>
      <w:r>
        <w:t>https://mcp.opencaselaw.ch/entscheid/ge_gerichte_ACJC_1330_2014</w:t>
      </w:r>
    </w:p>
    <w:p>
      <w:r>
        <w:t>FR: GE_GERICHTE ACJC/1330/2014 du 2 juillet 2014</w:t>
      </w:r>
    </w:p>
    <w:p>
      <w:r>
        <w:t>IT: GE_GERICHTE ACJC/1330/2014 del 2 luglio 2014</w:t>
      </w:r>
    </w:p>
    <w:p>
      <w:pPr>
        <w:pStyle w:val="Heading2"/>
      </w:pPr>
      <w:r>
        <w:t>Erwägungen</w:t>
      </w:r>
    </w:p>
    <w:p>
      <w:r>
        <w:rPr>
          <w:b/>
        </w:rPr>
        <w:t>E. 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Interjeté dans le délai et les formes prévus par la loi, le présent recours est recevable.</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w:t>
      </w:r>
    </w:p>
    <w:p>
      <w:r>
        <w:t>- 4/8 -</w:t>
      </w:r>
    </w:p>
    <w:p>
      <w:r>
        <w:t>C/4038/2014 326 al. 1 CPC). Partant, pour examiner si la loi a été violée, la Cour de justice doit se placer dans la situation où se trouvait le premier juge lorsque celui-ci a rendu la décision attaquée.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w:t>
      </w:r>
    </w:p>
    <w:p>
      <w:r>
        <w:rPr>
          <w:b/>
        </w:rPr>
        <w:t>E. 3</w:t>
      </w:r>
    </w:p>
    <w:p>
      <w:r>
        <w:t>La recourante fait grief au Tribunal d'avoir retenu qu'elle ne disposait pas d'un titre de mainlevée provisoire au sens de l'art. 82 LP.</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 Lorsque le juge doit statuer selon la simple vraisemblance (Glaubhaftmachung, la semplice verosimiglianza), il doit, en se basant sur des éléments objectifs, avoir</w:t>
      </w:r>
    </w:p>
    <w:p>
      <w:r>
        <w:t>- 5/8 -</w:t>
      </w:r>
    </w:p>
    <w:p>
      <w:r>
        <w:t>C/4038/2014 l'impression que le fait invoqué s'est produit, sans pour autant devoir exclure la possibilité qu'il ait pu se dérouler autrement (ATF 132 III 140 consid. 4.1.1; 130 III 321 consid. 3.3; 104 Ia 408 consid. 4; arrêt du Tribunal fédéral 5P.333/1998 consid. 2c).</w:t>
      </w:r>
    </w:p>
    <w:p>
      <w:r>
        <w:rPr>
          <w:b/>
        </w:rPr>
        <w:t>E. 3.2</w:t>
      </w:r>
    </w:p>
    <w:p>
      <w:r>
        <w:t>Constitue une reconnaissance de dette au sens de l'art. 82 LP, l'acte signé par le poursuivi - ou son représentant - duquel il ressort sa volonté de payer au poursuivant, sans réserve ni condition, une somme d'argent déterminée ou aisément déterminable et échue.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132 III 480 consid. 4.1; arrêts du Tribunal fédéral 5A_652/2011 du 28 février 2012 consid. 3.2.1 et 5P.380/2005 du 27 mars 2006 consid. 4.2). Il doit en effet exister un lien manifeste et non équivoque entre la reconnaissance de dette et les autres pièces, et le montant dû doit pouvoir être calculé facilement sur la base de ces pièces (arrêt du Tribunal fédéral 5A_867/2012 du 7 mars 2013 consid. 4.1; Staehelin, Basler Kommentar, SchKG I, 2e éd., 2010, n. 15 ad art. 82 LP). En matière de poursuites concernant des prestations périodiques, la jurisprudence genevoise considère que le libellé du commandement de payer et de la requête de mainlevée doivent renseigner le débiteur sur le détail de chaque créance poursuivie et sur les imputations à faire valoir. Si cette exigence est l'expression d'un principe général, elle ne constitue pas pour autant une règle absolue dont la violation serait sans autre synonyme d'arbitraire. Le débiteur peut en effet savoir à quoi s'en tenir, sans que le commandement de payer et la requête de mainlevée le renseignent de façon précise sur le détail de chaque créance, dans la mesure où il dispose d'éléments clairs et cohérents quant à la teneur de la créance en poursuite (arrêt du Tribunal fédéral 5P.149/2005 du 21 décembre 2005 et ATF 121 III 18 consid. 2a).</w:t>
      </w:r>
    </w:p>
    <w:p>
      <w:r>
        <w:rPr>
          <w:b/>
        </w:rPr>
        <w:t>E. 3.3</w:t>
      </w:r>
    </w:p>
    <w:p>
      <w:r>
        <w:t>En l'occurrence, l'intimée a signé une convention d'affiliation auprès de la recourante, énonçant le plan de prévoyance et comprenant les renvois aux statuts et règlement (y compris l'annexe technique qui détaille la déduction de coordination et les taux applicables), ainsi qu'une déclaration annuelle pour 2013, qui énumère les noms de huit employés et leur salaire annuel.</w:t>
      </w:r>
    </w:p>
    <w:p>
      <w:r>
        <w:t>Sur la base de ces éléments, elle était en mesure de calculer les montants dus mensuellement à titre de cotisations pour ses employés, étant précisé qu'il est dans le cours ordinaire des choses que le nombre de ceux-ci varie en fonction des mouvements naturels au sein de l'entreprise.</w:t>
      </w:r>
    </w:p>
    <w:p>
      <w:r>
        <w:t>- 6/8 -</w:t>
      </w:r>
    </w:p>
    <w:p>
      <w:r>
        <w:t>C/4038/2014</w:t>
      </w:r>
    </w:p>
    <w:p>
      <w:r>
        <w:t>Par conséquent, la recourante disposait d'un titre de mainlevée provisoire de l'opposition formée au commandement de payer.</w:t>
      </w:r>
    </w:p>
    <w:p>
      <w:r>
        <w:t>Le recours sera dès lors admis, et le jugement déféré annulé.</w:t>
      </w:r>
    </w:p>
    <w:p>
      <w:r>
        <w:t>La cause étant en état d'être jugée (art. 327 al. 3 let. b CPC), la mainlevée de l'opposition sera prononcée à concurrence du montant figurant dans le commandement de payer. La recourante sera déboutée de sa conclusion relative aux frais de ce commandement de payer, qui suivent le sort de la poursuite (art. 69 LP).</w:t>
      </w:r>
    </w:p>
    <w:p>
      <w:r>
        <w:rPr>
          <w:b/>
        </w:rPr>
        <w:t>E. 4</w:t>
      </w:r>
    </w:p>
    <w:p>
      <w:r>
        <w:t>L'intimée, qui succombe, supportera les frais des deux instances (art. 106 al. 1 CPC), arrêtés à 500 fr. (art. 48, 61 OELP), couverts par les avances déjà opérées, acquises à l'Etat (art. 111 al. 1 CPC). Elle remboursera l'appelante de ce montant.</w:t>
      </w:r>
    </w:p>
    <w:p>
      <w:r>
        <w:t>Il n'y a pas lieu à allocation de dépens. * * * * *</w:t>
      </w:r>
    </w:p>
    <w:p>
      <w:r>
        <w:t>- 7/8 -</w:t>
      </w:r>
    </w:p>
    <w:p>
      <w:r>
        <w:t>C/4038/2014 PAR CES MOTIFS, La Chambre civile : A la forme : Déclare recevable le recours formé le 4 août 2014 par A______ contre le jugement JTPI/8403/2014 rendu le 2 juillet 2014 par le Tribunal de première instance dans la cause C/4038/2014-9 SML. Au fond : Annule ce jugement. Cela fait, statuant à nouveau : Prononce la mainlevée provisoire de l'opposition formée par B______ au commandement de payer poursuite n° 1______. Déboute les parties de toutes autres conclusions. Sur les frais des deux instances : Arrête les frais des deux instances à 500 fr., couverts par les avances déjà opérées, acquises à l'Etat de Genève. Les met à la charge de B______. Condamne B______ à rembourser 500 fr. à A______. Siégeant : Madame Sylvie DROIN, présidente; Madame Nathalie LANDRY-BARTHE, Monsieur Ivo BUETTI, juges; Madame Céline FERREIRA, greffière.</w:t>
      </w:r>
    </w:p>
    <w:p>
      <w:r>
        <w:t>La présidente : Sylvie DROIN</w:t>
      </w:r>
    </w:p>
    <w:p>
      <w:r>
        <w:t>La greffière : Céline FERREIRA</w:t>
      </w:r>
    </w:p>
    <w:p>
      <w:r>
        <w:t>- 8/8 -</w:t>
      </w:r>
    </w:p>
    <w:p>
      <w:r>
        <w:t>C/4038/2014</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