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ACJC/132/2014 vom 4. Februar 2014</w:t>
      </w:r>
    </w:p>
    <w:p>
      <w:r>
        <w:t>GE Cour de justice, 2014-02-04, FR</w:t>
      </w:r>
    </w:p>
    <w:p>
      <w:r>
        <w:rPr>
          <w:b/>
        </w:rPr>
        <w:t xml:space="preserve">Quelle: </w:t>
      </w:r>
      <w:r>
        <w:t>https://mcp.opencaselaw.ch/entscheid/ge_gerichte_ACJC_132_2014</w:t>
      </w:r>
    </w:p>
    <w:p>
      <w:r>
        <w:t>FR: GE_GERICHTE ACJC/132/2014 du 4 février 2014</w:t>
      </w:r>
    </w:p>
    <w:p>
      <w:r>
        <w:t>IT: GE_GERICHTE ACJC/132/2014 del 4 febbraio 2014</w:t>
      </w:r>
    </w:p>
    <w:p>
      <w:pPr>
        <w:pStyle w:val="Heading2"/>
      </w:pPr>
      <w:r>
        <w:t>Erwägungen</w:t>
      </w:r>
    </w:p>
    <w:p>
      <w:r>
        <w:rPr>
          <w:b/>
        </w:rPr>
        <w:t>E. 3</w:t>
      </w:r>
    </w:p>
    <w:p>
      <w:r>
        <w:t>CPC). Qu'à défaut de justificatifs en ce sens, elle sera invitée à indiquer à la Cour, par la personne valablement autorisée à la représenter - statut qui devra être établi par pièce -, si elle entend ratifier la décision prise par C______ de former appel contre le jugement entrepris, respectivement de mandater le conseil auteur de l'acte d'appel pour la représenter (art. 132 al. 1 CPC par analogie cum art. 38 CO). Qu'il se justifie, par ailleurs, d'inviter A______ INC. à fournir toutes précisions qu'elle jugera utiles au sujet de sa légitimation active, C______ soutenant être l'unique propriétaire des montants réclamés par cette société. Qu'il convient, enfin, de donner l'occasion aux parties de s'exprimer sur le fait que la demande interjetée par A______ INC. constitue, en ce qui concerne le volet contractuel des prétentions soulevées, une action en exécution du contrat, et non en paiement de dommages-intérêts, les parties ayant, jusqu'à ce jour, limité leurs développements à ce dernier aspect. Qu'en regard de ces circonstances, un second échange d'écritures sera ordonné, limité aux uniques points énoncés ci-dessus (art. 316 al. 2 CPC). Qu'un délai au 28 février 2014 sera donc imparti à A______ INC. pour produire et déposer à la Cour tant les pièces énoncées supra que son mémoire de réplique. Qu'un délai au 28 mars 2014 sera, par ailleurs, imparti à B______ SA pour déposer à la Cour son mémoire de duplique. Que la cause sera ensuite gardée à juger. * * * * *</w:t>
      </w:r>
    </w:p>
    <w:p>
      <w:r>
        <w:t>- 7/7 -</w:t>
      </w:r>
    </w:p>
    <w:p>
      <w:r>
        <w:t>C/6026/2010 PAR CES MOTIFS, La Chambre civile : Statuant préparatoirement : Impartit à A______ INC. un délai au 28 février 2014 pour produire à la Cour tous documents permettant de justifier les éventuels pouvoirs de représentation dont disposerait C______ à son égard. Impartit à A______ INC. un délai au 28 février 2014 pour produire à la Cour, en tant que de besoin, un document - émanant de la personne valablement autorisée à représenter cette société, statut qui devra être établi par pièce - faisant état d'une éventuelle ratification des actes accomplis par C______. Impartit à A______ INC. un délai au 28 février 2014 pour déposer à la Cour un mémoire de réplique, limité aux aspects énoncés dans le corps de la présente décision. Impartit à B______ SA un délai au 28 mars 2014 pour déposer à la Cour un mémoire de duplique, limité aux seuls aspects énoncés dans le corps de la présente ordonnance. Dit que la cause sera ensuite gardée à juger. Siégeant : Monsieur Grégory BOVEY, président; Madame Sylvie DROIN et Madame Alix FRANCOTTE CONUS, juges; Madame Nathalie DESCHAMPS, greffière. Le président : Grégory BOVEY</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