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ACJC/1328/2016 vom 13. Oktober 2016</w:t>
      </w:r>
    </w:p>
    <w:p>
      <w:r>
        <w:t>GE Cour de justice, 2016-10-13, FR</w:t>
      </w:r>
    </w:p>
    <w:p>
      <w:r>
        <w:rPr>
          <w:b/>
        </w:rPr>
        <w:t xml:space="preserve">Quelle: </w:t>
      </w:r>
      <w:r>
        <w:t>https://mcp.opencaselaw.ch/entscheid/ge_gerichte_ACJC_1328_2016</w:t>
      </w:r>
    </w:p>
    <w:p>
      <w:r>
        <w:t>FR: GE_GERICHTE ACJC/1328/2016 du 13 octobre 2016</w:t>
      </w:r>
    </w:p>
    <w:p>
      <w:r>
        <w:t>IT: GE_GERICHTE ACJC/1328/2016 del 13 ottobre 2016</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Cette disposition s'applique à toute décision communiquée après le 1er janvier 2011, que celle-ci soit incidente ou finale. En l'occurrence, le jugement querellé a été communiqué aux parties après le 1er janvier 2011, de sorte que le nouveau droit de procédure est applicable en seconde instance.</w:t>
      </w:r>
    </w:p>
    <w:p>
      <w:r>
        <w:rPr>
          <w:b/>
        </w:rPr>
        <w:t>E. 1.2</w:t>
      </w:r>
    </w:p>
    <w:p>
      <w:r>
        <w:t>En revanche, la demande ayant été introduite avant l'entrée en vigueur des nouvelles règles de procédure civile, la première instance demeure régie par l'ancien droit de procédure genevois (art. 404 al. 1 CPC), à savoir essentiellement la loi de procédure civile genevoise du 10 avril 1987. De même, l'examen, par la Cour, de l'application par le premier juge de ce droit, se fera à l'aune de cette dernière législation (TAPPY, Le droit transitoire applicable lors de l'introduction de la nouvelle procédure civile unifiée, in : JdT 2010 III 11, p. 39; FREI/ WILLISEGGER, Commentaire bâlois du CPC, 2010, n. 15 ad art. 405 CPC).</w:t>
      </w:r>
    </w:p>
    <w:p>
      <w:r>
        <w:rPr>
          <w:b/>
        </w:rPr>
        <w:t>E. 2.1</w:t>
      </w:r>
    </w:p>
    <w:p>
      <w:r>
        <w:t>Le Tribunal ayant statué sur une partie du litige, dont le sort est indépendant de la détermination du dommage, le jugement attaqué constitue une décision partielle, susceptible d'un appel immédiat (art. 308 al. 1 let. a CPC; TAPPY, in Code de procédure civile commenté, 2011, n. 8 ad art. 308 CPC). L'appel est recevable pour avoir été interjeté auprès de l'autorité compétente (art. 120 al. 1 let. a LOJ), dans le délai utile de 30 jours et selon la forme prescrite par la loi (art. 130, 131, 142 al. 1 et 3 et 311 CPC), à l'encontre d'une décision finale de première instance (art. 308 al. 1 let. a CPC) rendue dans le cadre d'une affaire patrimoniale dont la valeur litigieuse est, compte tenu des sommes litigieuses en première instance, supérieure à 10'000 fr. (art. 91 al. 1 et 308 al. 2 CPC).</w:t>
      </w:r>
    </w:p>
    <w:p>
      <w:r>
        <w:rPr>
          <w:b/>
        </w:rPr>
        <w:t>E. 2.2</w:t>
      </w:r>
    </w:p>
    <w:p>
      <w:r>
        <w:t>L'appel joint a été interjeté dans le délai imparti pour la réponse (art. 313 al. 1 CPC) et suivant la forme prescrite par la loi (art. 311 al. 1 CPC). Partant, il est également recevable.</w:t>
      </w:r>
    </w:p>
    <w:p>
      <w:r>
        <w:rPr>
          <w:b/>
        </w:rPr>
        <w:t>E. 2.3</w:t>
      </w:r>
    </w:p>
    <w:p>
      <w:r>
        <w:t>Par soucis de simplification et pour respecter le rôle initial des parties devant la Cour, A______ sera désignée comme l'appelante et B______ comme l'intimée.</w:t>
      </w:r>
    </w:p>
    <w:p>
      <w:r>
        <w:rPr>
          <w:b/>
        </w:rPr>
        <w:t>E. 2.4</w:t>
      </w:r>
    </w:p>
    <w:p>
      <w:r>
        <w:t>La Chambre de céans revoit la cause en fait et en droit avec un plein pouvoir d'examen, dans les limites posées par les maximes des débats et de disposition applicables au présent contentieux (art. 55, 58 et 310 CPC).</w:t>
      </w:r>
    </w:p>
    <w:p>
      <w:r>
        <w:t>- 16/28 -</w:t>
      </w:r>
    </w:p>
    <w:p>
      <w:r>
        <w:t>C/14166/2010</w:t>
      </w:r>
    </w:p>
    <w:p>
      <w:r>
        <w:rPr>
          <w:b/>
        </w:rPr>
        <w:t>E. 2.5</w:t>
      </w:r>
    </w:p>
    <w:p>
      <w:r>
        <w:t>La compétence ratione loci des tribunaux suisses et l'application du droit suisse au fond du litige ne sont, à raison, pas remises en cause en appel.</w:t>
      </w:r>
    </w:p>
    <w:p>
      <w:r>
        <w:rPr>
          <w:b/>
        </w:rPr>
        <w:t>E. 3.1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 du Tribunal fédéral 5A_621/2012 du 20 mars 2013 consid. 5.1).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3.2.1 En l'espèce, les pièces relatives à la demande de rectification du 2 octobre 2015 sont recevables dès lors que cette demande est postérieure au jugement entrepris. 3.2.2 S'agissant des deux pièces produites le 6 juin 2016 par l'appelante, il s'agit respectivement d'un contrat conclu entre E______ et le groupe D______ concernant G______, vraisemblablement en 2003 (bien que la pièce ne soit pas datée) et d'une lettre du 10 juin 2008, concernant le litige avec G______. Ces pièces sont ainsi antérieures à la clôture de l'instruction en première instance. L'appelante soutient qu'elles ne sont devenues pertinentes qu'en deuxième instance dès lors que l'intimée aurait cité, devant la Cour, des témoignages recueillis par le Tribunal en y identifiant l'entité du groupe D______ visée par les témoins, alors que ceux-ci ne l'avaient pas fait. Elle invoque ainsi un pseudo nova. Or, la nature du litige avec G______ et les entités du groupe D______ impliquées dans ce litige étaient des questions déjà litigieuses devant le Tribunal, de sorte que ces deux pièces nouvelles en appel auraient pu être produites devant le premier juge déjà. Elles sont dès lors irrecevables.</w:t>
      </w:r>
    </w:p>
    <w:p>
      <w:r>
        <w:rPr>
          <w:b/>
        </w:rPr>
        <w:t>E. 4.1</w:t>
      </w:r>
    </w:p>
    <w:p>
      <w:r>
        <w:t>Selon l'art. 317 al. 2 CPC, la demande ne peut être modifiée que si les conditions fixées à l'art. 227 al. 1 CPC sont remplies et si la modification repose sur des faits ou des moyens de preuve nouveaux.</w:t>
      </w:r>
    </w:p>
    <w:p>
      <w:r>
        <w:t>- 17/28 -</w:t>
      </w:r>
    </w:p>
    <w:p>
      <w:r>
        <w:t>C/14166/2010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4.2</w:t>
      </w:r>
    </w:p>
    <w:p>
      <w:r>
        <w:t>En l'espèce, l'appelante n'a certes pas conclu, en première instance, à ce qu'il soit constaté que sa commission soit calculée sur l'ensemble des contrats de licence et de services conclus entre les sociétés du groupe D______ et C______. Elle avait cependant conclu à ce que cette rémunération porte sur les contrats de licence ainsi que les contrats de service et que l'intimée soit condamnée à produire tous les contrats conclus entre le groupe D______ et C______. Il y a dès lors lieu d'admettre que la reformulation des conclusions de l'appelante devant la Cour ne constitue pas une modification de ses conclusions.</w:t>
      </w:r>
    </w:p>
    <w:p>
      <w:r>
        <w:rPr>
          <w:b/>
        </w:rPr>
        <w:t>E. 5</w:t>
      </w:r>
    </w:p>
    <w:p>
      <w:r>
        <w:t>L'appelante fait grief au premier juge d'avoir nié la force probante de ses pièces 26, 31 et 32. L'intimée reproche, quant à elle, au Tribunal d'avoir retenu dans son raisonnement le contenu de la pièce 26, bien qu'ayant nié sa force probante. 5.1.1 La partie qui allègue un fait, que ce soit pour en déduire son droit ou sa libération, doit le prouver, à moins que l'autre partie ne déclare l'admettre ou que la loi permette de le tenir pour avéré (art. 186 al. 1 aLPC). A moins que la loi ne prescrive le contraire, le juge apprécie librement les résultats des mesures probatoires (art. 196 aLPC). Toute personne capable de discernement et régulièrement citée est tenue de comparaître comme témoin pour déposer sous la foi du serment (art. 222 al. 1 aLPC). 5.1.2 Les déclarations écrites émanant de personnes étrangères au procès et qui se limitent à attester des faits pour les besoins de la cause sont sans aucune portée probante. Ce procédé (affidavit) se heurte en effet aux dispositions impératives de la loi en matière de preuve testimoniale puisque la procédure genevoise ne connaît qu'une forme de témoignage, à savoir l'audition, par le juge et de manière contradictoire, de la personne concernée. Toute autre forme de témoignage est exclue, la déposition faite par écrit n'ayant aucune valeur de témoignage (SJ 1985 p. 125; SJ 1948 p. 492 et 493; ACJC/1568/2007 du 14 décembre 2007 consid. 3.3; CAPH/101/2009 du 29 juin 2009 consid. 3.4; BERTOSSA/GAILLARD/GUYET/ SCHMIDT, Commentaire de la loi de procédure civile genevoise, n. 4 ad art. 186 et n. 1 ad art. 222 aLPC).</w:t>
      </w:r>
    </w:p>
    <w:p>
      <w:r>
        <w:rPr>
          <w:b/>
        </w:rPr>
        <w:t>E. 5.2</w:t>
      </w:r>
    </w:p>
    <w:p>
      <w:r>
        <w:t>En l'espèce, la pièce 26 est un échange de courriels entre l'appelante et P______ des 26 et 27 mai 2011, dans lequel l'appelante explique à son interlocuteur la procédure introduite devant les Tribunaux genevois et lui</w:t>
      </w:r>
    </w:p>
    <w:p>
      <w:r>
        <w:t>- 18/28 -</w:t>
      </w:r>
    </w:p>
    <w:p>
      <w:r>
        <w:t>C/14166/2010 demande de confirmer un certain nombre d'éléments de faits relatif au litige. Bien qu'il n'ait pas la forme usuelle d'un affidavit, cet échange de courriels constitue un témoignage écrit sur les faits de la cause. La pièce 31 est un témoignage écrit de P______ en anglais et la pièce 32 en est la traduction en français. Cela étant, à la lumière de la jurisprudence précitée, la pièce 26 est dépourvue de portée probante quant aux déclarations faites par P______ dans ce courriel et les pièces 31 et 32 sont dépourvues de toute portée probante. Ni le fait que l'intimée ait pu se prononcer sur ces pièces durant la procédure, ni le fait que le Tribunal ait tenté en vain de faire entendre P______ par le biais d'une commission rogatoire, ne sont pertinents à ce titre, dès lors que l'absence du caractère contradictoire de l'audition de P______ n'en est pas guérie pour autant.</w:t>
      </w:r>
    </w:p>
    <w:p>
      <w:r>
        <w:rPr>
          <w:b/>
        </w:rPr>
        <w:t>E. 5.3</w:t>
      </w:r>
    </w:p>
    <w:p>
      <w:r>
        <w:t>C'est ainsi à raison que le Tribunal a nié toute force probante à ces pièces.</w:t>
      </w:r>
    </w:p>
    <w:p>
      <w:r>
        <w:rPr>
          <w:b/>
        </w:rPr>
        <w:t>E. 6</w:t>
      </w:r>
    </w:p>
    <w:p>
      <w:r>
        <w:t>L'intimée fait grief au premier juge d'avoir reconnu des effets juridiques à l'Introducer's Agreement alors qu'il s'agirait d'un acte simulé. 6.1.1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 juillet 2016 consid. 3.2). 6.1.2 Le Tribunal fédéral a admis la nullité de l'acte simulé notamment en cas de simulation quant à la qualité des parties, en particulier quand l'acte simulé ne sert qu'à donner l'apparence d'acquisition d'un bien à l'égard de tiers (ATF 97 IV 210 consid. 4a; en matière de simulation de vente d'avion en vue d'inscription de prétendu acquéreur au registre des aéronefs). 6.1.3 Le fardeau de la preuve de la simulation, en particulier de la volonté réelle des parties divergente de l'accord apparent, incombe à celui qui l'invoque. A cet égard, le juge se montrera exigeant. Des allégations de caractère générales ou de simples présomptions ne suffisent pas (art. 8 CC; ATF 123 IV 61 consid. 5; ATF 112 II 337 consid. 4a = JdT 1987 I 170; arrêt du Tribunal fédéral</w:t>
      </w:r>
    </w:p>
    <w:p>
      <w:r>
        <w:t>- 19/28 -</w:t>
      </w:r>
    </w:p>
    <w:p>
      <w:r>
        <w:t>C/14166/2010 4A_680/2015 du 1 juillet 2016 consid. 3.2). Savoir si les parties avaient la volonté (réelle) de feindre une convention revient à constater leur volonté interne au moment de la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 6.2.1 En l'espèce, l'intimée soutient que l'Introducer's agreement et son avenant constituaient un acte simulé concernant tant ses parties que son contenu, dès lors qu'il avait pour but de dissimuler un accord entre H______ et E______ portant sur le versement d'une somme à E______ en vue de sa collaboration dans le différend avec G______ (mémoire de réponse et d'appel joint du 11 janvier 2016, § 51 ss). A titre liminaire, il sied de constater une certaine confusion quant aux différents intervenants de la présente affaire. A titre d'exemple, l'appelante utilisait une adresse électronique de E______ également pour son activité privée et elle a signé le courriel au groupe D______ du 17 février 2007 dans lequel elle semblait se présenter comme directrice de E______, alors qu'elle a prétendu ensuite ne pas avoir eu ce rôle. Cette confusion a été acceptée par l'intimée. En effet, les témoignages de M______ et J______, ainsi que le courrier de résiliation du 4 décembre 2008 font état du fait que l'intimée avait parfaitement conscience de la confusion quant à son cocontractant. Plus généralement concernant l'implication de E______ dans le projet C______, la position du groupe D______ est également confuse. Ainsi, K______ a déclaré que cette collaboration avait été envisagée, alors que L______ a exclu une telle collaboration, E______ n'étant pas à même de fournir les prestations demandées, tout en précisant que la clause 3.3 de l'Introducer's Agreement faisait référence à une telle collaboration de E______. N______, directeur de E______, a, quant à lui, nié toute activité de son entreprise en lien avec le projet C______ dès lors qu'elle ne travaillait qu'avec les banques étatiques, précisant que l'appelante ne représentait pas l'entreprise en lien avec le projet C______.</w:t>
      </w:r>
    </w:p>
    <w:p>
      <w:r>
        <w:t>- 20/28 -</w:t>
      </w:r>
    </w:p>
    <w:p>
      <w:r>
        <w:t>C/14166/2010 L'intimée entretient également le flou quant à son groupe de sociétés, dès lors que, comme l'a confirmé sa directrice juridique, les entités du groupe D______ ne sont pas clairement distinguées. L'allégation de simulation devra donc être analysée dans ce contexte de confusion dont l'intimée est co-responsable. 6.2.2 Il est certes constant que E______ et le groupe D______ rencontraient des problèmes dans le cadre du projet avec la banque G______ en septembre et octobre 2007. Or, la seule concomitance temporelle entre les problèmes avec G______ et le paiement effectué par le groupe D______ le 12 octobre 2007 en faveur de l'appelante ne suffit pas à démontrer la simulation alléguée. Aucun élément du dossier, sauf les déclarations de représentants du groupe D______, ne permet de confirmer la conjecture que ces deux faits aient eu un lien de cause à effet. 6.2.3 En tout état, ce n'est pas au moment du paiement d'octobre 2007 que la volonté de simulation doit être démontrée, mais au moment de la conclusion du contrat prétendument simulé. L'Introducer's Agreement et son avenant ont été signés en août 2007, étant précisé qu'à teneur du courriel de L______ du 14 juillet 2006, le principe d'une rémunération pour une activité de courtage en lien avec le projet C______ avait été convenu à une date indéterminée antérieure. Or, l'intimée n'a pas démontré que le litige avec G______, et ainsi la prétendue volonté de rémunérer la collaboration de E______ dans celui-ci, existait déjà en août 2007, respectivement en juillet 2006. Au contraire, les remerciements adressés par L______ à N______ pour sa collaboration relative au projet G______ en juillet 2006 prouvent l'absence de litige à cette époque. Par ailleurs, J______ a fait état de négociations difficiles avec C______ au moment de la conclusion de l'Introducer's Agreement, plutôt que d'éventuelles tensions avec G______. En tout état, L______, signataire pour l'intimée du contrat prétendument simulé, a nié tout lien entre la procédure devant la Cour de céans et la procédure judiciaire opposant le groupe D______ ainsi que E______ à G______.</w:t>
      </w:r>
    </w:p>
    <w:p>
      <w:r>
        <w:rPr>
          <w:b/>
        </w:rPr>
        <w:t>E. 6.3</w:t>
      </w:r>
    </w:p>
    <w:p>
      <w:r>
        <w:t>C'est ainsi à bon droit que le premier juge a refusé de retenir que l'Introducer's Agreement constituait un acte simulé.</w:t>
      </w:r>
    </w:p>
    <w:p>
      <w:r>
        <w:rPr>
          <w:b/>
        </w:rPr>
        <w:t>E. 7</w:t>
      </w:r>
    </w:p>
    <w:p>
      <w:r>
        <w:t>L'intimée fait ensuite grief au premier juge d'avoir reconnu la réalité de l'intervention de l'appelante dans le cadre des accords conclus entre le groupe</w:t>
      </w:r>
    </w:p>
    <w:p>
      <w:r>
        <w:t>- 21/28 -</w:t>
      </w:r>
    </w:p>
    <w:p>
      <w:r>
        <w:t>C/14166/2010 D______ et C______ et donc, son droit à une commission au titre de l'Introducer's Agreement. 7.1.1 Le courtage est un contrat par lequel le courtier est chargé, moyennant un salaire, soit d'indiquer à l'autre partie l'occasion de conclure une convention, soit de lui servir d'intermédiaire pour la négociation d'un contrat. Les règles du mandat sont, d'une manière générale, applicables au courtage (art. 412 al. 1 et 2 CO). 7.1.2 Le courtier a droit à son salaire dès que l'indication qu'il a donnée ou la négociation qu'il a conduite aboutit à la conclusion du contrat (art. 413 al. 1 CO).</w:t>
      </w:r>
    </w:p>
    <w:p>
      <w:r>
        <w:t>Pour prétendre à un salaire, le courtier doit prouver, d'une part, qu'il a agi et, d'autre part, que son intervention a été couronnée de succès (ATF 131 III 268, consid. 5.1.2; ATF 124 III 481, consid. 3a).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(arrêts du Tribunal fédéral 4A_96/2016 du 4 avril 2016 consid. 2.1; 4A_337/2011 du 15 novembre 2011 consid. 2.1).</w:t>
      </w:r>
    </w:p>
    <w:p>
      <w:r>
        <w:t>Il importe peu que le courtier n'ait pas participé jusqu'au bout aux négociations du vendeur et de l'acheteur (ATF 72 II 84 consid. 2 p. 89; 62 II 342 consid. 2 p. 344). Le temps écoulé entre les derniers efforts du courtier et la conclusion du contrat principal est en soi un fait dénué de portée (ATF 84 II 542 consid. 3; arrêt du Tribunal fédéral 4A_96/2016 du 4 avril 2016 consid. 2.1).</w:t>
      </w:r>
    </w:p>
    <w:p>
      <w:r>
        <w:t>7.1.3 En vertu de l'article 8 CC, le fardeau de la preuve qu'il existe un lien de causalité incombe au courtier. Toutefois, lorsque le courtier a réellement accompli des efforts objectivement propres à favoriser la conclusion du contrat, le juge peut admettre, si le contraire ne ressort pas des circonstances, que ces efforts ont effectivement entraîné cette conséquence. Il appartient alors au mandant de prouver l'absence de lien psychologique entre les efforts du courtier et la décision du tiers (arrêt du Tribunal fédéral 4A_401/2012 du 16 octobre 2012 consid. 4; RAYROUX, op. cit., n. 26 ad art. 413 CO). La simple preuve de l'existence d'une activité du courtier, en particulier le seul envoi de quelques courriers à un acheteur, en l'absence de toute preuve du suivi effectué après l'envoi desdits courriers, ne suffit pas à donner droit à une rémunération, si la rencontre entre l'acheteur et le vendeur a eu lieu par la suite en raison de l'intervention d'un autre intermédiaire (arrêt du Tribunal fédéral 4A_673/2010 du 3 mars 2011 consid. 3).</w:t>
      </w:r>
    </w:p>
    <w:p>
      <w:r>
        <w:t>- 22/28 -</w:t>
      </w:r>
    </w:p>
    <w:p>
      <w:r>
        <w:t>C/14166/2010</w:t>
      </w:r>
    </w:p>
    <w:p>
      <w:r>
        <w:t>7.2.1 En l'espèce, il n'est pas contesté que le groupe D______ et C______ était en contact direct, avant l'implication de l'appelante, de sorte que seul le contrat de courtage de négociation est envisageable. C'est au demeurant ainsi que les parties ont décrit les obligations de l'appelante dans l'Introducer's Agreement.</w:t>
      </w:r>
    </w:p>
    <w:p>
      <w:r>
        <w:t>7.2.2 Le processus de sélection de C______ a duré de janvier 2005 à juin 2006, date de la décision de la précitée de conclure avec le groupe D______. Durant ladite période, l'appelante a participé à deux voyages avec des représentants de C______, organisés afin de leur permettre de rendre visite deux clients de l'intimée en Corée et en Espagne. Elle a en outre participé, avec des représentants de la Banque, à une réunion des utilisateurs des logiciels de l'intimée à Athènes, en juin 2006.</w:t>
      </w:r>
    </w:p>
    <w:p>
      <w:r>
        <w:t>En revanche, bien qu'allégués, la participation de l'appelante dans l'organisation de ces voyages, les téléphones de celle-ci avec les représentants de C______ et le fait qu'elle ait assisté à divers réunions de ceux-ci n'ont pas été démontrés.</w:t>
      </w:r>
    </w:p>
    <w:p>
      <w:r>
        <w:t>7.2.3 La participation de l'appelante à trois voyages avec C______ dépasse toutefois largement une activité de courtage non pertinente, comme l'envoi de quelques courriers par le prétendu courtier dans l'arrêt du Tribunal fédéral 4A_673/2010 précité.</w:t>
      </w:r>
    </w:p>
    <w:p>
      <w:r>
        <w:t>La participation de l'appelante à ces voyages est intervenue avec l'accord de l'intimée mais aux frais de l'appelante. Comme confirmé par K______, l'appelante a rencontré à cette occasion les représentants de la Banque. Durant le processus de sélection des logiciels de l'intimée, l'appelante a en outre eu connaissance d'informations importantes relatives aux négociations. Elle a ainsi appris que le groupe D______ était en concurrence avec O______, fait nié par L______ mais ressortant d'une présentation interne du groupe D______. L'appelante a également eu connaissance d'une demande de rabais de la Banque, qui paraît cohérente avec les déclarations de K______, indépendamment de celles de L______ concernant l'absence de rabais accordé. Une implication de l'appelante dans les négociations avec la Banque est également confirmée par les déclarations de J______, qui a indiqué que, selon sa compréhension, l'appelante avait été active durant les négociations avec la C______, bien qu'aucun employé du groupe n'ait pu lui donner des précisions à ce titre. A la lumière de ce qui précède, l'appelante a déployé, dans le processus de sélection des logiciels de l'intimée par C______, des efforts propres à favoriser la conclusion du contrat, étant rappelé que ces efforts ne doivent pas nécessairement être la cause immédiate de la conclusion du contrat de licence.</w:t>
      </w:r>
    </w:p>
    <w:p>
      <w:r>
        <w:t>- 23/28 -</w:t>
      </w:r>
    </w:p>
    <w:p>
      <w:r>
        <w:t>C/14166/2010 A ce titre, étant donné le type d'activité déployée par l'appelante, soit la prise de contacts informels avec les représentants de C______, il n'apparaît pas pertinent que le groupe D______ soit incapable de préciser les modalités exactes de l'intervention de l'appelante. 7.2.4 Le comportement de l'intimée après juin 2006 confirme en outre l'intervention de l'appelante dans le processus ayant abouti au choix par C______ des logiciels de l'intimée. Ainsi, l'intimée a remis à l'appelante, en juillet 2007, des documents vraisemblablement confidentiels concernant l'accord avec C______, en particulier l'annexe 4 du contrat de licence. L'intimée a ensuite négocié et conclu avec l'appelante un contrat de courtage et un avenant à celui-ci prévoyant une commission en faveur de l'appelante de l'ordre de 1'300'000 fr. (15% de 8'900'000 USD), à la lumière des documents transmis. En octobre 2007, l'intimée a procédé au versement d'une première tranche de la commission à l'appelante, K______ qualifiant cette dernière de courtière dans ses communications internes en vue dudit versement. Enfin, en juillet 2008, K______ a écrit à l'appelante pour l'informer du paiement d'une nouvelle échéance par C______, tout en lui précisant qu'elle recevrait la commission correspondante convenue. La thèse de l'intimée selon laquelle le groupe D______ aurait fait preuve de légèreté en lien avec la transmission de documents susmentionnée, la signature du contrat litigieux et le versement effectué en octobre 2007 ne saurait être suivie. De tels comportements d'un groupe rompu aux affaires n'apparaissent cohérents qu'en lien avec une activité de courtier effective de l'appelante.</w:t>
      </w:r>
    </w:p>
    <w:p>
      <w:r>
        <w:rPr>
          <w:b/>
        </w:rPr>
        <w:t>E. 7.3</w:t>
      </w:r>
    </w:p>
    <w:p>
      <w:r>
        <w:t>C'est ainsi à raison que le Tribunal a admis que l'appelante s'était impliquée activement dans les négociations avec C______, de sorte qu'elle avait droit à la rémunération convenue.</w:t>
      </w:r>
    </w:p>
    <w:p>
      <w:r>
        <w:rPr>
          <w:b/>
        </w:rPr>
        <w:t>E. 8</w:t>
      </w:r>
    </w:p>
    <w:p>
      <w:r>
        <w:t>Enfin, l'appelante fait grief au Tribunal d'avoir retenu à tort que sa commission serait calculée uniquement sur le contrat de licence initial conclu avec la Banque.</w:t>
      </w:r>
    </w:p>
    <w:p>
      <w:r>
        <w:rPr>
          <w:b/>
        </w:rPr>
        <w:t>E. 8.1</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 410 consid. 3.2 p. 412 s.). Au stade de cette interprétation subjective, le juge peut prendre en considération le comportement ultérieur des parties dans la mesure où il permet d'éclairer leur volonté réelle au</w:t>
      </w:r>
    </w:p>
    <w:p>
      <w:r>
        <w:t>- 24/28 -</w:t>
      </w:r>
    </w:p>
    <w:p>
      <w:r>
        <w:t>C/14166/2010 moment de conclure (ATF 129 III 675 consid. 2.3 p. 680; 107 II 417 consid. 6 p. 418). Ce n'est que si la volonté réelle des parties ne peut pas être établie ou s'il apparaît que leurs volontés intimes divergent que le juge procédera à une interprétation dite objective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p. 412 s.). 8.2.1 En l'espèce, l'appelante prétend premièrement que sa commission serait due non seulement sur les contrats de licence mais également sur les contrats de services conclus entre le groupe D______ et la Banque. Elle se fonde à ce titre sur le courriel du 14 juillet 2006 adressé à N______, dans lequel L______ faisait état qu'à son souvenir, une commission sur les contrats de service de 15% avait été convenue dans des correspondances préalables. Or, L______ réservait expressément, dans ledit courriel, une vérification par rapport auxdites correspondances, non produites dans la présente procédure. Par ailleurs, K______ a contesté qu'une commission sur les contrats de services ait été promise à l'appelante. A la lumière de ce qui précède, reste incertain le fait qu'une telle commission ait été initialement prévue par les parties. Ce point peut en tout état rester ouvert. L'Introducer's Agreement et son avenant, signés en août 2007, ont remplacé en effet tout accord antérieur (clause 6.11). Ce contrat prévoyait certes, à sa clause 3.3, l'allocation à l'appelante de services appropriés et de revenus associés provenant de la Banque. La formulation de cette clause diverge cependant de celle de la clause 3.1, qui prévoyait expressément le versement d'une commission et son taux. Ainsi, il peut être exclu que les parties aient prévu une commission pour les contrats de services. A ce titre, l'explication de L______, selon laquelle la clause 3.3 a été maintenue dans la perspective que E______ fournisse des services à C______, apparaît crédible. A ce titre, la clause 3.2 relative aux modalités de paiement et la clause 3.4 relative aux informations à fournir à l'appelante, ont réglé ces questions en lien avec un "software agreement", terme utilisé au singulier. Il désignait ce faisant, le contrat de licence conclu avec la Banque et non d'éventuels contrats de services. Enfin, lors de la négociation de la formulation des documents contractuels signés par les parties, l'appelante a proposé, par courriel du 19 juin 2007, une</w:t>
      </w:r>
    </w:p>
    <w:p>
      <w:r>
        <w:t>- 25/28 -</w:t>
      </w:r>
    </w:p>
    <w:p>
      <w:r>
        <w:t>C/14166/2010 modification de formulation prévoyant expressément une commission de 10% sur les contrats de services. Or, les documents contractuels n'ont jamais été modifiés dans ce sens. A la lumière de ces éléments, le Tribunal a, à raison, retenu que les parties n'ont pas eu la volonté de prévoir contractuellement en faveur de l'appelante le versement d'une commission concernant les contrats de services conclus avec la Banque. 8.2.2 Par ailleurs, l'appelante se plaint de l'interprétation faite par le premier juge de la formulation de la clause 3.1 de l'Introducer's Agreement. Celle-ci est rédigée comme suit : "D______ will pay the INTRODUCER a commission equivalent to 12.5% of the D______ PRODUCTS Initial License Fee receipts for the obligations performed". Elle prévoit donc que l'intimée verse à l'appelante une commission équivalente à 12.5% (augmentée à 15% par l'Addendum) des recettes de la redevance de licence initiale sur les produits D______, définis comme les logiciels 1______ et 2______. Il n'est pas contesté que le pluriel utilisé pour le terme "receipts" faisait référence au fait que le montant sur lequel la commission devait être calculée pouvait être versé par la Banque en plusieurs tranches. L'interprétation des termes "D______ Products Initial License" est en revanche litigieuse. Selon l'appelante, les parties entendaient couvrir l'ensemble des contrats de licence conclus pour la durée initiale de la licence de chaque logiciel vendu à la Banque. Elle se fonde à ce titre sur le pluriel des termes "D______ Products". Cependant, les termes "Initial License" ont été utilisés au singulier, de sorte qu'il convient de retenir que les parties ont prévu le versement d'une commission sur un seul contrat, soit le premier contrat de licence sur les produits D______ conclue avec la Banque. Une commission sur la première licence pour chacun des produits D______, soit sur plusieurs contrats de licence, est ainsi exclue. A ce titre, la clause 3.2 relative aux modalités de paiement de la commission et la clause 3.4 relative aux informations à fournir à l'appelante sur le contrat qui y donnait droit, règlent ces questions en lien avec un "software agreement", terme au singulier, qui désignait, ce faisant, un unique contrat de licence avec C______. 8.2.3 En outre, jusqu'en mars 2010, soit près de deux ans et demi après le premier versement effectué par l'intimée à l'appelante, cette dernière n'a jamais, à teneur des pièces produites, demandé le paiement d'une commission en relation avec un autre contrat que le contrat de licence initialement conclu. Elle n'a pas non plus demandé la transmission de documents relatifs à d'autres contrats.</w:t>
      </w:r>
    </w:p>
    <w:p>
      <w:r>
        <w:t>- 26/28 -</w:t>
      </w:r>
    </w:p>
    <w:p>
      <w:r>
        <w:t>C/14166/2010</w:t>
      </w:r>
    </w:p>
    <w:p>
      <w:r>
        <w:rPr>
          <w:b/>
        </w:rPr>
        <w:t>E. 8.3</w:t>
      </w:r>
    </w:p>
    <w:p>
      <w:r>
        <w:t>C'est ainsi à raison que le Tribunal a constaté que la commission due devait être calculée uniquement en relation avec le contrat initial de licence conclu avec C______.</w:t>
      </w:r>
    </w:p>
    <w:p>
      <w:r>
        <w:rPr>
          <w:b/>
        </w:rPr>
        <w:t>E. 8.4</w:t>
      </w:r>
    </w:p>
    <w:p>
      <w:r>
        <w:t>L'appelante conclut enfin à ce que le jugement du Tribunal soit complété en ce que le montant de sa commission soit expressément fixé dans son dispositif. Or, le litige ayant été limité à l'interprétation de l'Introducer's Agreement et de son avenant, il ne convient pas de compléter ce jugement à ce titre.</w:t>
      </w:r>
    </w:p>
    <w:p>
      <w:r>
        <w:rPr>
          <w:b/>
        </w:rPr>
        <w:t>E. 9.1</w:t>
      </w:r>
    </w:p>
    <w:p>
      <w:r>
        <w:t>Les frais de l'appel principal seront arrêtés à 20'000 fr. (art. 17 et 35 RTFMC) et partiellement compensés avec l'avance d'un montant de 1'000 fr., acquise à l'Etat (art. 111 al. 1 CPC). Ils seront mis à la charge de l'appelante qui succombe (art. 106 al. 1 CPC) et qui sera condamnée à verser 19'000 fr. au titre des frais à l'Etat de Genève.</w:t>
      </w:r>
    </w:p>
    <w:p>
      <w:r>
        <w:rPr>
          <w:b/>
        </w:rPr>
        <w:t>E. 9.2</w:t>
      </w:r>
    </w:p>
    <w:p>
      <w:r>
        <w:t>Les frais de l'appel joint seront arrêtés à 20'000 fr., (17 et 35 RTFMC), et partiellement compensés avec l'avance d'un montant de 1'000 fr., acquise à l'Etat (art. 111 al. 1 CPC). Ils seront mis à la charge de l'intimée, qui succombe sur appel joint (art. 106 al. 1 CPC). Elle sera dès lors condamnée à verser 19'000 fr. au titre des frais à l'Etat de Genève.</w:t>
      </w:r>
    </w:p>
    <w:p>
      <w:r>
        <w:rPr>
          <w:b/>
        </w:rPr>
        <w:t>E. 9.3</w:t>
      </w:r>
    </w:p>
    <w:p>
      <w:r>
        <w:t>Chacune des parties étant déboutées des fins de son appel, respectivement appel joint, les dépens seront compensés. * * * * * *</w:t>
      </w:r>
    </w:p>
    <w:p>
      <w:r>
        <w:t>- 27/28 -</w:t>
      </w:r>
    </w:p>
    <w:p>
      <w:r>
        <w:t>C/14166/2010 PAR CES MOTIFS, La Chambre civile : A la forme : Déclare recevables l'appel interjeté par A______ le 26 octobre 2015 et l'appel joint interjeté par B______ le 11 janvier 2016 contre le jugement JTPI/10839/2015 rendu le 23 septembre 2015 par le Tribunal de première instance dans la cause C/14166/2010-19. Au fond : Confirme le jugement attaqué. Déboute les parties de toutes autres conclusions. Sur les frais : Arrête les frais judiciaires de l'appel principal à 20'000 fr., les met à la charge de A______ et les compense partiellement avec l'avance fournie, qui reste acquise à l'Etat de Genève. Condamne en conséquence A______ à payer la somme de 19'000 fr. à l'Etat de Genève, soit pour lui les Services financiers du Pouvoir judiciaire. Arrête les frais judiciaires de l'appel joint à 20'000 fr., les met à la charge de B______ et les compense partiellement avec l'avance fournie, qui reste acquise à l'Etat de Genève à due concurrence. Condamne en conséquence B______ à payer la somme de 19'000 fr. à l'Etat de Genève, soit pour lui les Services financiers du Pouvoir judiciaire. Dit que les dépens sont compensés. Siégeant : Madame Valérie LAEMMEL-JUILLARD, présidente; Madame Nathalie LANDRY- BARTHE, Monsieur Patrick CHENAUX, juges; Madame Audrey MARASCO, greffière.</w:t>
      </w:r>
    </w:p>
    <w:p>
      <w:r>
        <w:t>La présidente : Valérie LAEMMEL-JUILLARD</w:t>
      </w:r>
    </w:p>
    <w:p>
      <w:r>
        <w:t>La greffière : Audrey MARASCO</w:t>
      </w:r>
    </w:p>
    <w:p>
      <w:r>
        <w:t>- 28/28 -</w:t>
      </w:r>
    </w:p>
    <w:p>
      <w:r>
        <w:t>C/14166/2010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