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ACJC/1326/2020 vom 24. September 2020</w:t>
      </w:r>
    </w:p>
    <w:p>
      <w:r>
        <w:t>GE Cour de justice, 2020-09-24, FR</w:t>
      </w:r>
    </w:p>
    <w:p>
      <w:r>
        <w:rPr>
          <w:b/>
        </w:rPr>
        <w:t xml:space="preserve">Quelle: </w:t>
      </w:r>
      <w:r>
        <w:t>https://mcp.opencaselaw.ch/entscheid/ge_gerichte_ACJC_1326_2020</w:t>
      </w:r>
    </w:p>
    <w:p>
      <w:r>
        <w:t>FR: GE_GERICHTE ACJC/1326/2020 du 24 septembre 2020</w:t>
      </w:r>
    </w:p>
    <w:p>
      <w:r>
        <w:t>IT: GE_GERICHTE ACJC/1326/2020 del 24 settembre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2 CPC).</w:t>
      </w:r>
    </w:p>
    <w:p>
      <w:r>
        <w:t>- 8/21 -</w:t>
      </w:r>
    </w:p>
    <w:p>
      <w:r>
        <w:t>C/7165/2019 En l'espèce, le litige porte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1.2</w:t>
      </w:r>
    </w:p>
    <w:p>
      <w:r>
        <w:t>Interjeté dans le délai utile de 30 jours et selon la forme prescrite par la loi (art. 130, 131, 142, 311 al. 1 et 2 CPC), l’appel est recevable.</w:t>
      </w:r>
    </w:p>
    <w:p>
      <w:r>
        <w:rPr>
          <w:b/>
        </w:rPr>
        <w:t>E. 1.3</w:t>
      </w:r>
    </w:p>
    <w:p>
      <w:r>
        <w:t>La Cour revoit la cause avec un plein pouvoir d'examen en fait et en droit (art. 310 CPC; ATF 138 III 374 consid. 4.3.1).</w:t>
      </w:r>
    </w:p>
    <w:p>
      <w:r>
        <w:rPr>
          <w:b/>
        </w:rPr>
        <w:t>E. 1.4</w:t>
      </w:r>
    </w:p>
    <w:p>
      <w:r>
        <w:t>La procédure simplifiée s'applique aux procédures indépendantes, à savoir celles qui ne portent que sur les prétentions de l'enfant relevant du droit de la famille (art. 295 CPC). Les maximes d'office et inquisitoire illimitée s'appliquent (art. 296 CPC). Ainsi, le juge n'est pas lié par les conclusions des parties (art. 58 al. 2 et 296 al. 3 CPC) et établit les faits d'office (art. 55 al. 2 et 296 al. 1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5A_874/2016 du 26 avril 2017 consid. 4.1).</w:t>
      </w:r>
    </w:p>
    <w:p>
      <w:r>
        <w:rPr>
          <w:b/>
        </w:rPr>
        <w:t>E. 2</w:t>
      </w:r>
    </w:p>
    <w:p>
      <w:r>
        <w:t>Les parties ont allégué des faits nouveaux et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2.2</w:t>
      </w:r>
    </w:p>
    <w:p>
      <w:r>
        <w:t>Les pièces nouvelles sont ainsi recevables, de même que les faits nouveaux qui s'y rapportent.</w:t>
      </w:r>
    </w:p>
    <w:p>
      <w:r>
        <w:rPr>
          <w:b/>
        </w:rPr>
        <w:t>E. 3</w:t>
      </w:r>
    </w:p>
    <w:p>
      <w:r>
        <w:t>L'appelant fait grief au Tribunal d'avoir violé son droit d'être entendu en tant qu'il n'a pas statué sur ses conclusions tendant à l'ordonnance d'une expertise du groupe familiale et d'un suivi thérapeutique par l'intimé ainsi qu'au conditionnement du droit de visite à la poursuite de ce suivi.</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w:t>
      </w:r>
    </w:p>
    <w:p>
      <w:r>
        <w:t>- 9/21 -</w:t>
      </w:r>
    </w:p>
    <w:p>
      <w:r>
        <w:t>C/7165/2019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5D_34/2019 du 11 juin 2019 consid. 4.2).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consid. 3.2).</w:t>
      </w:r>
    </w:p>
    <w:p>
      <w:r>
        <w:rPr>
          <w:b/>
        </w:rPr>
        <w:t>E. 3.2</w:t>
      </w:r>
    </w:p>
    <w:p>
      <w:r>
        <w:t>En l'espèce, dans son action alimentaire et en fixation des relations personnelles, l'appelant a notamment conclu à ce que le Tribunal ordonne la mise en œuvre d'une expertise psychiatrique du groupe familial, ordonne à l'intimé de mettre en œuvre un suivi individuel, sous la menace de la peine prévue à l'art. 292 CP et subordonne le droit aux relations personnelles et tout élargissement ultérieur à la poursuite de ce suivi. Le Tribunal a toutefois débouté l'appelant de ses conclusions sur ces points sans motiver son jugement à cet égard. Ce faisant, il a violé le droit d'être entendu de l'appelant. Cela étant, cette violation demeure sans conséquence dans le cas d'espèce, dans la mesure où elle peut être réparée par la Cour, qui dispose d'un plein pouvoir d'examen en fait et en droit. Il ne se justifie dès lors pas d'annuler le jugement querellé et de renvoyer la cause au Tribunal pour ce motif, étant précisé que les conclusions précitées seront examinées dans les considérants qui suivent.</w:t>
      </w:r>
    </w:p>
    <w:p>
      <w:r>
        <w:t>- 10/21 -</w:t>
      </w:r>
    </w:p>
    <w:p>
      <w:r>
        <w:t>C/7165/2019</w:t>
      </w:r>
    </w:p>
    <w:p>
      <w:r>
        <w:rPr>
          <w:b/>
        </w:rPr>
        <w:t>E. 4</w:t>
      </w:r>
    </w:p>
    <w:p>
      <w:r>
        <w:t>L'appelant reproche au Tribunal de ne pas avoir ordonné d'expertise psychiatrique du groupe familial en violation de l'art. 183 al. 1 CPC. Il conclut à ce que la Cour ordonne sa mise en œuvre. 4.1.1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in Commentaire romand, Code de procédure civile, 2019, n. 3 et 4 ad art. 183 CPC). 4.1.2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w:t>
      </w:r>
    </w:p>
    <w:p>
      <w:r>
        <w:rPr>
          <w:b/>
        </w:rPr>
        <w:t>E. 4.2</w:t>
      </w:r>
    </w:p>
    <w:p>
      <w:r>
        <w:t>En l'espèce, le SEASP a rendu un rapport détaillé prenant en compte toutes les particularités du cas d'espèce, en particulier le conflit marqué entre les parents, les procédures pénales à l'encontre du père et le fait que ce dernier n'a jamais eu de</w:t>
      </w:r>
    </w:p>
    <w:p>
      <w:r>
        <w:t>- 11/21 -</w:t>
      </w:r>
    </w:p>
    <w:p>
      <w:r>
        <w:t>C/7165/2019 relations personnelles avec l'enfant. Sur cette base, il a préconisé la fixation d'un droit de visite médiatisé et l'instauration d'une curatelle, mesures qui préservent adéquatement le bien de l'enfant (cf. infra consid. 5.2) et avec lesquelles la mère était d'accord. Il n'existe par ailleurs aucun motif permettant de douter des conclusions du SEASP. Dans ces conditions et compte tenu du droit de visite envisagé à ce stade, une expertise psychiatrique du groupe familial apparaissait superflue. Il ne peut dès lors être reproché au Tribunal de ne pas l'avoir ordonnée. Pour les mêmes motifs, la Cour ne donnera pas suite à la conclusion de l'appelant tendant à la mise en œuvre de cette expertise, la cause étant en état d'être jugée.</w:t>
      </w:r>
    </w:p>
    <w:p>
      <w:r>
        <w:rPr>
          <w:b/>
        </w:rPr>
        <w:t>E. 5</w:t>
      </w:r>
    </w:p>
    <w:p>
      <w:r>
        <w:t>L'appelant fait grief au Tribunal de ne pas avoir ordonné à l'intimé de mettre en œuvre un suivi thérapeutique individuel sous la menace de la peine prévue à l'art. 292 CP, ni conditionné son droit aux relations personnelles ainsi que tout élargissement ultérieur à la poursuite de ce suivi, en violation de l'at. 307 al. 3 CC.</w:t>
      </w:r>
    </w:p>
    <w:p>
      <w:r>
        <w:rPr>
          <w:b/>
        </w:rPr>
        <w:t>E. 5.1</w:t>
      </w:r>
    </w:p>
    <w:p>
      <w:r>
        <w:t>Selon l'art. 307 al. 1 CC, l'autorité de protection de l'enfant prend les mesures nécessaires pour protéger l'enfant si son développement est menacé et que les père et mère n'y remédient pas d'eux-mêmes ou soient hors d'état de le faire.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L'autorité de protection peut notamment donner l'instruction d'effectuer une thérapie (arrêt du Tribunal fédéral 5A_457/2009 du 9 décembre 2009 consid. 4.3). Le principe de la proportionnalité est la pierre angulaire du système de protection civile de l'enfant, la mesure ordonnée devant notamment être apte à atteindre le but de protection visé et nécessaire à cette fin (principe de la proportionnalité au sens étroit; arrêts du Tribunal fédéral 5A_7/2016 du 15 juin 2016 consid. 3.3.1; 5A_840/2010 du 31 mai 2011 consid. 3.1.2). 5.2.1 La Cour relève avant toute chose que bien que l'appelant conclue formellement à l'annulation du chiffre 2 du dispositif du jugement, il ne ressort pas de son appel qu'il remette en cause l'étendue et les modalités du droit de visite telles que fixées par le premier juge, étant en tout état relevé que celles-ci correspondent aux recommandations du SEASP et apparaissent conformes à l'intérêt de l'enfant. Le chiffre 2 du dispositif du jugement entrepris sera dès lors confirmé. 5.2.2 L'appelant reproche toutefois au Tribunal de ne pas avoir, en parallèle, ordonné les mesures susmentionnées, qu'il estime nécessaires et adéquates afin</w:t>
      </w:r>
    </w:p>
    <w:p>
      <w:r>
        <w:t>- 12/21 -</w:t>
      </w:r>
    </w:p>
    <w:p>
      <w:r>
        <w:t>C/7165/2019 que l'intimé puisse bénéficier des conseils et de l'assistance nécessaire dans la reprise de contact avec l'enfant. En l'occurrence, le droit de visite de l'intimé sur son fils a été fixé à raison d'une heure par semaine au sein d'une structure permettant des visites médiatisées, une curatelle d'organisation et de surveillance de ce droit de visite ayant en outre été instaurée. Au vu de ces mesures, qui impliquent l'intervention de tiers objectifs soucieux du bien de l'enfant, l'intimé bénéficiera d'ores et déjà des conseils et de l'assistance nécessaire pour la prise de contact avec A______, sans qu'il apparaisse nécessaire d'ordonner des mesures supplémentaires. Le bien de l'enfant est en effet préservé par la présence d'un thérapeute durant l'exercice du droit de visite, qui permet de veiller en tout temps à l'adéquation du père à l'égard de son fils. Le curateur pourra également s'assurer que le lien père-fils évolue favorablement et saisir les autorités compétentes si tel ne devait pas être le cas. Dans ces conditions, la Cour ne discerne pas ce que les mesures sollicitées apporteraient de plus, si ce n'est une entrave à la liberté personnelle de l'intimé. Enfin, dans l'hypothèse d'un élargissement futur du droit de visite, la situation serait réévaluée par l'autorité compétente, de sorte qu'il n'est pas utile, en l'état, de conditionner celui-ci à la poursuite d'un suivi thérapeutique. L'appelant sera dès lors débouté de ses conclusions tendant à ce que des mesures supplémentaires soient ordonnées. Cela étant, il ressort de la procédure que l'intimé a entamé un suivi thérapeutique auprès du Dr G______. La Cour, à l'instar du Tribunal, exhortera donc celui-ci à poursuivre cette thérapie. Un tel suivi ne pourra en effet que s'avérer positif, en particulier dans la perspective d'un éventuel élargissement ultérieur du droit de visite. Le chiffre 4 du dispositif du jugement entrepris mentionne toutefois D______ comme lieu de la thérapie. Afin de ne pas restreindre l'intimé dans le choix de son thérapeute - une relation de confiance étant nécessaire pour toute thérapie - et dans la mesure où il est actuellement suivi par le Dr G______, l'indication du lieu de la thérapie sera supprimée du chiffre 4 du dispositif du jugement.</w:t>
      </w:r>
    </w:p>
    <w:p>
      <w:r>
        <w:rPr>
          <w:b/>
        </w:rPr>
        <w:t>E. 6</w:t>
      </w:r>
    </w:p>
    <w:p>
      <w:r>
        <w:t>ans de l'enfant, de 500 fr. de 6 à 10 ans, de 700 fr. de 10 à 16 ans et de 800 fr. de 16 ans jusqu'à sa majorité, voire au-delà en cas d'études ou de formation sérieuses et régulières. Le chiffre 6 du dispositif du jugement sera par conséquent annulé et il sera statué conformément à ce qui précède. Le chiffre 5 sera quant à lui confirmé, les charges de l'enfant n'étant actuellement pas couvertes.</w:t>
      </w:r>
    </w:p>
    <w:p>
      <w:r>
        <w:rPr>
          <w:b/>
        </w:rPr>
        <w:t>E. 7</w:t>
      </w:r>
    </w:p>
    <w:p>
      <w:r>
        <w:t>L'appelant conclut enfin à ce que l'intimé soit condamné à prendre en charge par moitié ses frais extraordinaires, sans soulever la moindre critique à l'égard du raisonnement du premier juge sur ce point. Faute de motivation, sa conclusion est irrecevable (art. 311 al. 1 CPC). La Cour de céans fait en tout état sienne l'argumentation du Tribunal, qui a retenu à raison qu'il ne convenait pas de tenir compte de frais extraordinaires dont l'existence n'avait en l'état pas été démontrée.</w:t>
      </w:r>
    </w:p>
    <w:p>
      <w:r>
        <w:rPr>
          <w:b/>
        </w:rPr>
        <w:t>E. 8.1</w:t>
      </w:r>
    </w:p>
    <w:p>
      <w:r>
        <w:t>Lorsque l'autorité d'appel statue à nouveau, elle se prononce sur les frais de la première instance (art. 318 al. 3 CPC). En l'occurrence, la quotité et la répartition des frais de première instance ne font l'objet d'aucun grief motivé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w:t>
      </w:r>
    </w:p>
    <w:p>
      <w:r>
        <w:rPr>
          <w:b/>
        </w:rPr>
        <w:t>E. 8.2</w:t>
      </w:r>
    </w:p>
    <w:p>
      <w:r>
        <w:t>Les frais judiciaires d'appel seront arrêtés à 800 fr. (art. 32 et 35 RTFMC) et mis à la charge des parties à raison d'une moitié chacune, compte tenu de l'issue et de la nature du litige (art. 106 al. 2 et 107 al. 1 let. c CPC). Les parties étant au bénéfice de l'assistance juridique, les frais judiciaires seront provisoirement supportés par l'Etat de Genève, qui pourra en réclamer le remboursement ultérieurement aux conditions fixées par la loi (art. 122 et 123 al. 1 CPC); art. 19 du Règlement sur l'assistance juridique et l'indemnisation des conseils juridiques et défenseurs d'office en matière civile, administrative et pénale [RAJ; E 2 05.04]).</w:t>
      </w:r>
    </w:p>
    <w:p>
      <w:r>
        <w:t>- 19/21 -</w:t>
      </w:r>
    </w:p>
    <w:p>
      <w:r>
        <w:t>C/7165/2019 Pour le surplus, chaque partie supportera ses propres dépens d'appel (art. 107 al. 1 let. c CPC). * * * * *</w:t>
      </w:r>
    </w:p>
    <w:p>
      <w:r>
        <w:t>- 20/21 -</w:t>
      </w:r>
    </w:p>
    <w:p>
      <w:r>
        <w:t>C/7165/2019</w:t>
      </w:r>
    </w:p>
    <w:p>
      <w:r>
        <w:t>PAR CES MOTIFS, La Chambre civile : A la forme : Déclare recevable l'appel interjeté le 7 février 2020 par A______ contre le jugement JTPI/142/2020 rendu le 7 janvier 2020 par le Tribunal de première instance dans la cause C/7165/2019-19.</w:t>
      </w:r>
    </w:p>
    <w:p>
      <w:r>
        <w:t>Au fond : Annule les chiffres 4 et 6 du dispositif de ce jugement et, statuant à nouveau sur ces points : Exhorte C______ à poursuivre son suivi thérapeutique. Condamne C______ à verser en mains de B______, à titre de contribution à l'entretien de A______ B______, par mois et d'avance, allocations familiales non comprises, dès le 1er février 2021, les sommes de 460 fr. jusqu'aux 6 ans de l'enfant, de 500 fr. de 6 à 10 ans, de 700 fr. de 10 à 16 ans et de 800 fr. de 16 ans jusqu'à sa majorité, voire au-delà en cas d'études ou de formation sérieuses et régulières. Confirme le jugement entrepris pour le surplus. Déboute les parties de toutes autres conclusions. Sur les frais d'appel : Arrête les frais judiciaires d'appel à 800 fr. et les met à la charge des parties à raison d'une moitié chacune. Dit qu'ils sont provisoirement supportés par l'Etat de Genève. Dit que chaque partie supporte ses propres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- 21/21 -</w:t>
      </w:r>
    </w:p>
    <w:p>
      <w:r>
        <w:t>C/7165/2019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