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ACJC/1322/2018 vom 28. September 2018</w:t>
      </w:r>
    </w:p>
    <w:p>
      <w:r>
        <w:t>GE Cour de justice, 2018-09-28, FR</w:t>
      </w:r>
    </w:p>
    <w:p>
      <w:r>
        <w:rPr>
          <w:b/>
        </w:rPr>
        <w:t xml:space="preserve">Quelle: </w:t>
      </w:r>
      <w:r>
        <w:t>https://mcp.opencaselaw.ch/entscheid/ge_gerichte_ACJC_1322_2018</w:t>
      </w:r>
    </w:p>
    <w:p>
      <w:r>
        <w:t>FR: GE_GERICHTE ACJC/1322/2018 du 28 septembre 2018</w:t>
      </w:r>
    </w:p>
    <w:p>
      <w:r>
        <w:t>IT: GE_GERICHTE ACJC/1322/2018 del 28 settembre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A teneur de l'art. 145 al. 2 let. b CPC, la suspension des délais pendant les féries ne s'applique pas à la procédure sommaire. A teneur de l'art. 138 CPC, les citations, les ordonnances et les décisions sont notifiées par recommandé (al. 1). L'acte est réputé notifié en cas d'envoi recommandé, lorsque celui-ci n'a pas été retiré à l'expiration d'un délai de sept jours à compter de l'échec de la remise, si le destinataire devait s'attendre à recevoir la notification (al. 3). Interjeté dans le délai prescrit et selon la forme requise par la loi, le recours est recevable. En revanche, la réplique du recourant a été expédiée le 22 août 2018,</w:t>
      </w:r>
    </w:p>
    <w:p>
      <w:r>
        <w:t>- 4/7 -</w:t>
      </w:r>
    </w:p>
    <w:p>
      <w:r>
        <w:t>C/5883/2018 soit plus de dix jours après la notification le 9 août 2018 de l'ordonnance de la Cour du 30 juillet 2018. Dans la mesure où elle n'a pas été déposée dans le délai imparti par la Cour, cette écriture, de même que les pièces jointes à celle-ci, est irrecevable. Elle n'est, en tout état de cause, pas déterminante.</w:t>
      </w:r>
    </w:p>
    <w:p>
      <w:r>
        <w:rPr>
          <w:b/>
        </w:rPr>
        <w:t>E. 1.2</w:t>
      </w:r>
    </w:p>
    <w:p>
      <w:r>
        <w:t>Les conclusions, allégations de fait et preuves nouvelles sont irrecevables dans le cadre d'un recours (art. 326 al. 1 CPC). Il s'ensuit que les pièces 6 à 17 produites par l'intimé devant la Cour sont irrecevables, de sorte qu'il n'en sera pas tenu compte. En revanche, en tant qu'elles figurent déjà au dossier, les pièces déposées par le recourant ne sont pas nouvelles et sont partant recevables.</w:t>
      </w:r>
    </w:p>
    <w:p>
      <w:r>
        <w:rPr>
          <w:b/>
        </w:rPr>
        <w:t>E. 1.3</w:t>
      </w:r>
    </w:p>
    <w:p>
      <w:r>
        <w:t>La maxime des débats s'applique et la preuve des faits allégués doit être apportée par titres (art. 55 al. 1, 255 let. a a contrario et 254 CPC).</w:t>
      </w:r>
    </w:p>
    <w:p>
      <w:r>
        <w:rPr>
          <w:b/>
        </w:rPr>
        <w:t>E. 2</w:t>
      </w:r>
    </w:p>
    <w:p>
      <w:r>
        <w:t>Dans un premier moyen, le recourant se plaint d'une violation de son droit d'être entendu, au motif que le SCARPA n'a pas répondu à son courrier du 29 mai 2018.</w:t>
      </w:r>
    </w:p>
    <w:p>
      <w:r>
        <w:rPr>
          <w:b/>
        </w:rPr>
        <w:t>E. 2.1</w:t>
      </w:r>
    </w:p>
    <w:p>
      <w:r>
        <w:t>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w:t>
      </w:r>
    </w:p>
    <w:p>
      <w:r>
        <w:rPr>
          <w:b/>
        </w:rPr>
        <w:t>E. 2.2</w:t>
      </w:r>
    </w:p>
    <w:p>
      <w:r>
        <w:t>En l'occurrence, la critique du recourant est sans fondement. Le SCARPA a motivé les raisons de sa requête en mainlevée définitive dans son écriture du 8 mars 2018, à laquelle le recourant à répondu par courrier du 29 mai 2018. Le recourant a, par la suite, eu l'occasion de confronter ses arguments à ceux de la partie adverse lors de l'audience du 4 juin 2018. Or, bien que régulièrement convoqué, le recourant ne s'est pas présenté, ni fait représenter. La procédure ayant abouti au jugement de première instance a donc bien été contradictoire, respectant ainsi le droit d'être entendu du recourant.</w:t>
      </w:r>
    </w:p>
    <w:p>
      <w:r>
        <w:rPr>
          <w:b/>
        </w:rPr>
        <w:t>E. 3</w:t>
      </w:r>
    </w:p>
    <w:p>
      <w:r>
        <w:t>Le recourant fait valoir que l'intimé n'était pas légitimé à intervenir à son encontre. On peut se demander si ce grief n'est pas tardif, partant irrecevable, dans la mesure où il aurait dû être soulevé déjà devant le Tribunal de première instance. Dans son écriture spontanée du 29 mai 2018, le recourant se limite en effet à constater que B______ a été représentée par différents tuteurs, mais il ne formule aucune critique spécifique à cet égard. La question peut cependant rester indécise, car le moyen est de toute façon mal fondé.</w:t>
      </w:r>
    </w:p>
    <w:p>
      <w:r>
        <w:t>3.1.1 Selon l'art. 80 al. 1 LP, le créancier qui est au bénéfice d'un jugement exécutoire peut requérir du juge la mainlevée définitive de l'opposition. Un</w:t>
      </w:r>
    </w:p>
    <w:p>
      <w:r>
        <w:t>- 5/7 -</w:t>
      </w:r>
    </w:p>
    <w:p>
      <w:r>
        <w:t>C/5883/2018 jugement portant condamnation à verser une contribution d'entretien constitue un titre de mainlevée définitive tant qu'il n'a pas été modifié par un nouveau jugement entré en force de chose jugée (ATF 118 II 228 consid. 3b; arrêt du Tribunal fédéral 5A_311/2012 du 15 mai 2013 consid. 4.2).</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se limite à examiner le jugement exécutoire ou les titres y assimilés, ainsi que les trois identités - l'identité entre le poursuivant et le créancier désigné dans le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 3.1.2 En principe, la mainlevée définitive ne peut être allouée qu'au créancier désigné par le jugement. Cependant, elle peut aussi être accordée au cessionnaire légal ou conventionnel de la créance (arrêt du Tribunal fédéral 5D_195/2013 du 22 janvier 2014 consid. 3.2 et les références citées).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(ACJC/1006/2018 du 26 juillet 2018 consid. 3.3 et les références mentionnées).</w:t>
      </w:r>
    </w:p>
    <w:p>
      <w:r>
        <w:rPr>
          <w:b/>
        </w:rPr>
        <w:t>E. 3.2</w:t>
      </w:r>
    </w:p>
    <w:p>
      <w:r>
        <w:t>Dans le cas d'espèce, le recourant, qui admet avoir cessé de verser les contributions d'entretien, ne conteste pas que le jugement de divorce du 13 septembre 2001 constitue un titre de mainlevée définitive. Il fait uniquement valoir que, n'étant pas partie audit jugement, l'intimé n'était pas habilité à</w:t>
      </w:r>
    </w:p>
    <w:p>
      <w:r>
        <w:t>- 6/7 -</w:t>
      </w:r>
    </w:p>
    <w:p>
      <w:r>
        <w:t>C/5883/2018 introduire une poursuite à son encontre. Or, il ressort du dossier que l'intimé est intervenu sur la base d'une cession opérée par l'ex-épouse du recourant en sa faveur, à valoir dès le 1er novembre 2005, pour le recouvrement des pensions alimentaires fixées dans le jugement de divorce du 13 septembre 2001. Contrairement à ce que semble indiquer le recourant, son ex-épouse, représentée par une tutrice du Service du tuteur général, était en droit de céder au SCARPA la totalité de sa créance future envers le recourant. Le recourant ne remet pas en cause les pouvoirs de représentation de la tutrice de son ex-épouse lors de la signature de la convention de cession. Il se prévaut uniquement du changement de tuteur intervenu ultérieurement. Or, contrairement à ce qu'il soutient, l'identité actuelle du représentant de son ex-épouse n'a aucune incidence sur la validité du contrat de cession. Il s'ensuit que le SCARPA est régulièrement devenu cessionnaire de la créance d'entretien stipulée dans le jugement de divorce rendu au profit de l'épouse cédante. L'autorité intimée est partant cessionnaire de la créance en cause et justifie de la qualité pour requérir la mainlevée définitive de l'opposition. Pour le surplus, le recourant n'allègue pas qu'il aurait eu gain de cause dans une procédure de modification dudit jugement de divorce. Il ne fait pas non plus valoir de moyen libératoire. Il s'ensuit que le recours est infondé et qu'il sera partant rejeté.</w:t>
      </w:r>
    </w:p>
    <w:p>
      <w:r>
        <w:rPr>
          <w:b/>
        </w:rPr>
        <w:t>E. 4</w:t>
      </w:r>
    </w:p>
    <w:p>
      <w:r>
        <w:t>Le recourant, qui succombe, supportera les frais de son recours (art. 106 al. 1 CPC), arrêtés à 450 fr. (art. 48, 61 OELP), couverts par l'avance déjà opérée, acquise à l'Etat de Genève (art. 111 al. 1 CPC).</w:t>
      </w:r>
    </w:p>
    <w:p>
      <w:r>
        <w:t>Il n'y a pas lieu à l'allocation de dépens (art. 95 al. 3 let. c CPC). * * * * *</w:t>
      </w:r>
    </w:p>
    <w:p>
      <w:r>
        <w:t>- 7/7 -</w:t>
      </w:r>
    </w:p>
    <w:p>
      <w:r>
        <w:t>C/5883/2018 PAR CES MOTIFS, La Chambre civile : A la forme : Déclare recevable le recours formé le 4 juillet 2018 par A______ contre le jugement JTPI/9477/2018 rendu le 4 juin 2018 par le Tribunal de première instance dans la cause C/5883/2018-1 SML. Au fond : Rejette ce recours. Déboute les parties de toutes autres conclusions. Sur les frais : Arrête les frais judiciaires du recours à 450 fr., les met à la charge de A______ et les compense avec l'avance fournie, qui reste acquise à l'Etat de Genève.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