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ACJC/1322/2017 vom 16. Oktober 2017</w:t>
      </w:r>
    </w:p>
    <w:p>
      <w:r>
        <w:t>GE Cour de justice, 2017-10-16, FR</w:t>
      </w:r>
    </w:p>
    <w:p>
      <w:r>
        <w:rPr>
          <w:b/>
        </w:rPr>
        <w:t xml:space="preserve">Quelle: </w:t>
      </w:r>
      <w:r>
        <w:t>https://mcp.opencaselaw.ch/entscheid/ge_gerichte_ACJC_1322_2017</w:t>
      </w:r>
    </w:p>
    <w:p>
      <w:r>
        <w:t>FR: GE_GERICHTE ACJC/1322/2017 du 16 octobre 2017</w:t>
      </w:r>
    </w:p>
    <w:p>
      <w:r>
        <w:t>IT: GE_GERICHTE ACJC/1322/2017 del 16 ottobre 2017</w:t>
      </w:r>
    </w:p>
    <w:p>
      <w:pPr>
        <w:pStyle w:val="Heading2"/>
      </w:pPr>
      <w:r>
        <w:t>Erwägungen</w:t>
      </w:r>
    </w:p>
    <w:p>
      <w:r>
        <w:rPr>
          <w:b/>
        </w:rPr>
        <w:t>E. 1.1</w:t>
      </w:r>
    </w:p>
    <w:p>
      <w:r>
        <w:t>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 du Tribunal fédéral 4A_131/2013 du 3 septembre 2013 consid. 2.2.2.2; JEANDIN, Code de procédure civile commenté, 2011, N. 15 ad art. 319 CPC).</w:t>
      </w:r>
    </w:p>
    <w:p>
      <w:r>
        <w:t>En l'espèce, le droit de la locataire de contester le congé selon l'art. 273 CO, qui prévoit un délai de péremption de trente jours, est perdu ensuite de la radiation, de sorte que la condition du préjudice difficilement réparable est réalisée. La voie du recours est donc ouverte.</w:t>
      </w:r>
    </w:p>
    <w:p>
      <w:r>
        <w:rPr>
          <w:b/>
        </w:rPr>
        <w:t>E. 1.2</w:t>
      </w:r>
    </w:p>
    <w:p>
      <w:r>
        <w:t>Formé devant l'autorité compétente (cf. art. 122 let. b LOJ; ACJC/796/2014 du 27 juin 2014, consid.1), dans le délai et la forme prescrits par la loi (art. 130. 131 et 321 CPC), le recours, qui porte la signature d'un associé gérant de la locataire inscrit au Registre du commerce, est recevable.</w:t>
      </w:r>
    </w:p>
    <w:p>
      <w:r>
        <w:rPr>
          <w:b/>
        </w:rPr>
        <w:t>E. 2</w:t>
      </w:r>
    </w:p>
    <w:p>
      <w:r>
        <w:t>Les conclusions, les allégations de faits et les preuves nouvelles sont irrecevables (art. 326 al. 1 CPC). La Cour doit statuer sur la base du dossier qui était en main de la Commission lorsqu'elle a rendu la décision attaquée.</w:t>
      </w:r>
    </w:p>
    <w:p>
      <w:r>
        <w:t>La recourante ne conteste pas ne pas avoir déposé la procuration et l'acte de cession avec sa requête du 2 janvier 2017. Ces pièces sont donc irrecevables. Il en va de même des allégations et des pièces nouvelles de l'intimé.</w:t>
      </w:r>
    </w:p>
    <w:p>
      <w:r>
        <w:t>- 4/6 -</w:t>
      </w:r>
    </w:p>
    <w:p>
      <w:r>
        <w:t>C/110/2017</w:t>
      </w:r>
    </w:p>
    <w:p>
      <w:r>
        <w:rPr>
          <w:b/>
        </w:rPr>
        <w:t>E. 3</w:t>
      </w:r>
    </w:p>
    <w:p>
      <w:r>
        <w:t>La recourante reproche à la Commission d'avoir rayé la cause du rôle, alors que C______ était légitimé à la représenter lors de l'audience de conciliation du</w:t>
      </w:r>
    </w:p>
    <w:p>
      <w:r>
        <w:rPr>
          <w:b/>
        </w:rPr>
        <w:t>E. 3.1</w:t>
      </w:r>
    </w:p>
    <w:p>
      <w:r>
        <w:t>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transiger (art. 204 al. 3 CPC). La partie adverse est informée à l'avance de la représentation (art. 204 al. 4 CPC).</w:t>
      </w:r>
    </w:p>
    <w:p>
      <w:r>
        <w:t>En cas de défaut du demandeur, la requête est considérée comme retirée; la procédure devient sans objet et l'affaire est rayée du rôle (art. 206 al. 1 CPC).</w:t>
      </w:r>
    </w:p>
    <w:p>
      <w:r>
        <w:t>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possibilité d'engager une véritable discussion.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accompagnant l'avant-projet de la commission d'experts mentionnait du reste expressément ce risque (p. 99 ad art. 200, rapport en l'état accessible sur le site Internet www.ejpd.admin.ch; arrêt du Tribunal fédéral 4C_1/2013 du 25 juin 2013 consid. 4.3).</w:t>
      </w:r>
    </w:p>
    <w:p>
      <w:r>
        <w:t>- 5/6 -</w:t>
      </w:r>
    </w:p>
    <w:p>
      <w:r>
        <w:t>C/110/2017</w:t>
      </w:r>
    </w:p>
    <w:p>
      <w:r>
        <w:t>Les personnes morales comparaissent par le biais de leurs organes. (BOHNET, in BOHNET/HALDY/JEANDIN/SCHWEIZER/TAPPY, Code de procédure civile commenté, Bâle, 2011, n. 3 ad art. 204 CPC).</w:t>
      </w:r>
    </w:p>
    <w:p>
      <w:r>
        <w:rPr>
          <w:b/>
        </w:rPr>
        <w:t>E. 3.2</w:t>
      </w:r>
    </w:p>
    <w:p>
      <w:r>
        <w:t>Dans le cas d'espèce, la citation à comparaître à l'audience de conciliation précisait expressément que les parties devaient comparaître personnellement. Au verso de ladite citation, les dispositions relatives à la nécessité de se présenter en personne, ainsi que les conséquences de la non comparution, soit le défaut, étaient intégralement reproduites.</w:t>
      </w:r>
    </w:p>
    <w:p>
      <w:r>
        <w:t>L'attention de la recourante a été dûment attirée tant sur la nécessité de comparaître personnellement à l'audience que sur les conséquences d'un défaut, de sorte qu'elle ne pouvait ignorer que l'un de ses gérants muni d'une signature individuelle devait comparaître.</w:t>
      </w:r>
    </w:p>
    <w:p>
      <w:r>
        <w:t>L'argument de la recourante selon lequel elle était valablement représentée par C______, dans la mesure où ce dernier avait acquis une partie de ses parts sociales et détenait une procuration en sa faveur, n'est pas pertinent. En tout état de cause, ces deux allégués, à supposer qu'ils aient été formés en conciliation, ne sont pas établis par des pièces recevables.</w:t>
      </w:r>
    </w:p>
    <w:p>
      <w:r>
        <w:t>En effet, aucune procuration en faveur de C______ n'a été produite lors de l'audience de conciliation du 7 février 2017, de sorte que celui-ci n'était même pas légitimé à représenter la recourante.</w:t>
      </w:r>
    </w:p>
    <w:p>
      <w:r>
        <w:t>En outre, la recourante ne fait valoir aucun juste motif qui lui aurait permis d'être dispensée de comparaître personnellement.</w:t>
      </w:r>
    </w:p>
    <w:p>
      <w:r>
        <w:t>Dès lors que la recourante n'était ni présente personnellement, ni valablement représentée, c'est à bon droit que la Commission a constaté son défaut et a rayé la cause du rôle. Le recours sera en conséquence rejeté. 4. La procédure est gratuite, de sorte qu'il n'est pas perçu de frais ni alloué de dépens (art. 22 al. 1 LaCC), étant rappelé que l'art. 116 al. 1 CPC autorise les cantons à prévoir des dispenses de frais dans d'autres litiges que ceux visés à l'art. 114 CPC. * * * * *</w:t>
      </w:r>
    </w:p>
    <w:p>
      <w:r>
        <w:t>- 6/6 -</w:t>
      </w:r>
    </w:p>
    <w:p>
      <w:r>
        <w:t>C/110/2017 PAR CES MOTIFS, La Chambre des baux et loyers : A la forme : Déclare recevable le recours interjeté le 9 mars 2017 par A______ SARL contre la décision rendue le 7 février 2017 par la Commission en matière de baux et loyers dans la cause C/110/2017. Au fond : Le rejette. Déboute les parties de toutes autres conclusions. Dit que la procédure est gratuite.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février 2017, dans la mesure où il détenait des parts sociales de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