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ACJC/131/2016 vom 28. Mai 2015</w:t>
      </w:r>
    </w:p>
    <w:p>
      <w:r>
        <w:t>GE Cour de justice, 2015-05-28, FR</w:t>
      </w:r>
    </w:p>
    <w:p>
      <w:r>
        <w:rPr>
          <w:b/>
        </w:rPr>
        <w:t xml:space="preserve">Quelle: </w:t>
      </w:r>
      <w:r>
        <w:t>https://mcp.opencaselaw.ch/entscheid/ge_gerichte_ACJC_131_2016</w:t>
      </w:r>
    </w:p>
    <w:p>
      <w:r>
        <w:t>FR: GE_GERICHTE ACJC/131/2016 du 28 mai 2015</w:t>
      </w:r>
    </w:p>
    <w:p>
      <w:r>
        <w:t>IT: GE_GERICHTE ACJC/131/2016 del 28 maggio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w:t>
      </w:r>
    </w:p>
    <w:p>
      <w:r>
        <w:rPr>
          <w:b/>
        </w:rPr>
        <w:t>E. 1.2</w:t>
      </w:r>
    </w:p>
    <w:p>
      <w:r>
        <w:t>En l'espèce, le loyer annuel du logement, charges comprises, s'élève à 10'428 fr.</w:t>
      </w:r>
    </w:p>
    <w:p>
      <w:r>
        <w:t>En prenant en compte la période de protection de trois ans, la valeur litigieuse est largement supérieure à 10'000 fr. (10'428 fr. x 3 ans = 31'284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t>- 8/14 -</w:t>
      </w:r>
    </w:p>
    <w:p>
      <w:r>
        <w:t>C/21965/2013</w:t>
      </w:r>
    </w:p>
    <w:p>
      <w:r>
        <w:rPr>
          <w:b/>
        </w:rPr>
        <w:t>E. 2</w:t>
      </w:r>
    </w:p>
    <w:p>
      <w:r>
        <w:t>juin 2008 consid. 1.1; 4A_516/2007 du 6 mars 2008 consid. 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 justificatif postal de distribution produit par la bailleresse en appel avait déjà été produit en première instance, dans le cadre de la réplique aux plaidoiries écrites. Les appelantes avaient demandé que cette pièce soit déclarée irrecevable.</w:t>
      </w:r>
    </w:p>
    <w:p>
      <w:r>
        <w:t>Les premiers juges n'ont toutefois pas écarté ces pièces, sans être critiqués sur ce point par les appelantes. Ainsi, cette pièce fait déjà partie du dossier, de sorte qu'elle n'est pas nouvelle.</w:t>
      </w:r>
    </w:p>
    <w:p>
      <w:r>
        <w:t>Au demeurant, les premiers juges auraient-ils écarté cette pièce, qu'elle serait recevable en appel pour avoir été déposée à la première occasion utile, après que les appelantes ont contesté la réception du pli du 3 février 2014, ce qu'elles n'avaient pas fait auparavant.</w:t>
      </w:r>
    </w:p>
    <w:p>
      <w:r>
        <w:rPr>
          <w:b/>
        </w:rPr>
        <w:t>E. 3.1</w:t>
      </w:r>
    </w:p>
    <w:p>
      <w:r>
        <w:t>Selon la jurisprudence du Tribunal fédéral rappelée récemment (arrêt non publié 4A_14/2015 du 26 février 2015 consid. 2), la coopérative d'habitation et l'associé-locataire sont liés par deux rapports de droit : un rapport corporatif, de caractère social, qui se crée entre la société coopérative et son nouveau membre lors de l'acquisition de la qualité d'associé (art. 839 ss CO), d'une part, et un rapport d'obligation, de caractère individuel, qui résulte de la conclusion du contrat de bail à loyer par la société coopérative avec ce nouveau membre (art. 253 ss CO), d'autre part. Selon les principes généraux, les cocontractants peuvent convenir de lier entre eux deux rapports juridiques d'une manière telle que l'extinction de l'un entraîne celle de l'autre, aucun des rapports ne pouvant persister indépendamment de l'autre; on parle alors de contrats couplés, interdépendants, liés ou connexes. Dans un tel cas de figure, une seule manifestation de volonté suffit pour mettre fin aux deux rapports juridiques. Si la résiliation émane de la société coopérative, on peut admettre que la possibilité de recourir à l'assemblée générale (art. 846 al. 3 CO) doit être ouverte avant que la résiliation ne soit considérée comme définitive sur le plan interne. En cas de contestation par la voie judiciaire, la résiliation doit être portée devant le tribunal compétent pour examiner le rapport de droit prépondérant, soit, dans le cas d'un associé-locataire, les tribunaux compétents en matière de baux et loyers; il n'y a donc qu'une seule procédure, et non pas deux procédures successives. Lorsque les deux rapports juridiques n'ont pas été couplés par un accord spécifique, chacun d'eux peut prendre fin indépendamment de l'autre. Dans cette hypothèse, on peut concevoir qu'il y ait, de façon non simultanée, une décision d'exclusion de la</w:t>
      </w:r>
    </w:p>
    <w:p>
      <w:r>
        <w:t>- 9/14 -</w:t>
      </w:r>
    </w:p>
    <w:p>
      <w:r>
        <w:t>C/21965/2013 coopérative et une résiliation du bail, chaque acte pouvant donner lieu à sa propre procédure devant l'autorité compétente. Il est permis aussi d'envisager qu'un rapport juridique survive à l'autre (ATF 136 III 65 consid. 2.4).</w:t>
      </w:r>
    </w:p>
    <w:p>
      <w:r>
        <w:rPr>
          <w:b/>
        </w:rPr>
        <w:t>E. 3.2</w:t>
      </w:r>
    </w:p>
    <w:p>
      <w:r>
        <w:t>Dans l'affaire dont il avait à connaître (arrêt non publié précité 4A_14/2015 du 26 février 2015 consid. 2), le Tribunal fédéral a considéré que les deux rapports de droit n'étaient pas couplés, puisque les statuts de la coopérative prévoyaient l'attribution de logement, à titre exceptionnel, à des personnes qui n'étaient pas associées et qu'ils énonçaient que l'exclusion entraînait irrévocablement la résiliation immédiate du bail, sans dire qu'elle valait résiliation, celle-ci intervenant soit pour de justes motifs, soit pour la plus proche échéance contractuelle, ce qui impliquait que la date de fin du bail devait être précisée et ne découlait pas de l'exclusion.</w:t>
      </w:r>
    </w:p>
    <w:p>
      <w:r>
        <w:rPr>
          <w:b/>
        </w:rPr>
        <w:t>E. 3.3</w:t>
      </w:r>
    </w:p>
    <w:p>
      <w:r>
        <w:t>En l'espèce, les dispositions statutaires, en particulier les articles 9 et 11 ont une portée identique aux dispositions statutaires soumises au Tribunal fédéral dans l'affaire mentionnée plus haut. De surcroît, comme dans l'affaire précitée, la bailleresse a procédé séparément pour l'exclusion de la coopérative et pour la résiliation du bail. Il convient d'en déduire que le rapport social et le rapport de bail ne sont pas couplés.</w:t>
      </w:r>
    </w:p>
    <w:p>
      <w:r>
        <w:t>De la sorte, le contrat de bail n'a pas pris fin avec l'exclusion de B______ de la coopérative. Il s'ensuit que la fin du rapport de bail sera examinée en tant que telle.</w:t>
      </w:r>
    </w:p>
    <w:p>
      <w:r>
        <w:rPr>
          <w:b/>
        </w:rPr>
        <w:t>E. 4.1</w:t>
      </w:r>
    </w:p>
    <w:p>
      <w:r>
        <w:t>Le congé donné par un bailleur à une pluralité de locataires doit être communiqué à l'ensemble d'entre eux, à peine de nullité (arrêt du Tribunal fédéral non publié 4A_189/2009 du 13 juillet 2009 consid. 2.1; LACHAT, Le bail à loyer, 2008, p. 72; BOHNET/MONTINI, Commentaire pratique, Droit du bail à loyer, 2010, n° 33 ad art. 253 CO; BURKHALTER/MARTINEZ-FAVRE, Commentaire SVIT du droit du bail, 2001, n° 15 remarques préliminaires ad art. 266-266o CO).</w:t>
      </w:r>
    </w:p>
    <w:p>
      <w:r>
        <w:t>Il s'impose ainsi d'examiner en premier lieu qui a la qualité de partie au contrat de bail litigieux.</w:t>
      </w:r>
    </w:p>
    <w:p>
      <w:r>
        <w:rPr>
          <w:b/>
        </w:rPr>
        <w:t>E. 4.2</w:t>
      </w:r>
    </w:p>
    <w:p>
      <w:r>
        <w:t>Les appelantes font valoir qu'en vertu de l'art. 560 CC, qui prévoit le principe de la succession universelle, A______ et D______, ont pris la place de D______, aux côtés de B______. L'intimée, quant à elle, fait valoir l'interdépendance du rapport social et du rapport de bail, ainsi que l'avenant du 5 mars 2002 au contrat de bail.</w:t>
      </w:r>
    </w:p>
    <w:p>
      <w:r>
        <w:rPr>
          <w:b/>
        </w:rPr>
        <w:t>E. 4.3</w:t>
      </w:r>
    </w:p>
    <w:p>
      <w:r>
        <w:t>Le droit des successions est régi par le principe de la succession universelle consacré par l'art. 560 al. 1 CC. Les héritiers deviennent alors titulaires de tous les actifs et passifs du de cujus, de par le seul effet du décès. Les héritiers sont alors immédiatement titulaires, de plein droit, de tous les droits transmissibles du de</w:t>
      </w:r>
    </w:p>
    <w:p>
      <w:r>
        <w:t>- 10/14 -</w:t>
      </w:r>
    </w:p>
    <w:p>
      <w:r>
        <w:t>C/21965/2013 cujus : meubles, immeubles, droits réels limités, créances, droits personnels, actions et droits corporatifs, propriétés immatérielles, etc (STEINAUER, « Le droit des successions », 2015, n° 24 et ss, 28 et ss, 945 et ss).</w:t>
      </w:r>
    </w:p>
    <w:p>
      <w:r>
        <w:rPr>
          <w:b/>
        </w:rPr>
        <w:t>E. 4.4</w:t>
      </w:r>
    </w:p>
    <w:p>
      <w:r>
        <w:t>Conformément au principe de la relativité des conventions, les effets d'un contrat ne valent normalement qu'à l'égard des parties, et non envers les tiers, des exceptions n'étant possibles que si cela est prévu par le contrat lui-même ou la loi (MORIN, Commentaire romand – code des obligations I, n° 40 et ss ad art. 1 CO).</w:t>
      </w:r>
    </w:p>
    <w:p>
      <w:r>
        <w:rPr>
          <w:b/>
        </w:rPr>
        <w:t>E. 4.5</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La recherche de la volonté réelle des parties est qualifiée d'interprétation subjective.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Cette démarche est qualifiée d'interprétation objective (art. 18 al. 1 CO; ATF 131 III 606 consid. 4.1 et les références).</w:t>
      </w:r>
    </w:p>
    <w:p>
      <w:r>
        <w:t>A teneur de la jurisprudence, le désintérêt total pour un appartement que les intéressés n'occupent pas peut être interprété par les bailleurs comme une renonciation de leur part au bail (arrêt du Tribunal fédéral 4A_258/2014 du</w:t>
      </w:r>
    </w:p>
    <w:p>
      <w:r>
        <w:rPr>
          <w:b/>
        </w:rPr>
        <w:t>E. 4.6</w:t>
      </w:r>
    </w:p>
    <w:p>
      <w:r>
        <w:t>En l'espèce, il apparaît effectivement, comme le soutiennent les appelantes, que les deux enfants du locataire, décédé le 10 janvier 1992, ont pris sa place aux côtés de leur mère dans le rapport de bail. De ce point de vue, l'analyse à laquelle se sont livrés les premiers juges, qui excluent cette situation en raison d'un raisonnement relevant du rapport social, n'est pas pertinente, étant rappelé que, comme on l'a vu, le rapport social et le rapport de bail ne sont pas couplés.</w:t>
      </w:r>
    </w:p>
    <w:p>
      <w:r>
        <w:t>Cela n'exclut toutefois pas que les rapports juridiques se soient par la suite modifiés.</w:t>
      </w:r>
    </w:p>
    <w:p>
      <w:r>
        <w:t>En particulier, la bailleresse fait valoir un avenant signé le 5 mars 2002 par elle- même et B______.</w:t>
      </w:r>
    </w:p>
    <w:p>
      <w:r>
        <w:t>Cet avenant n'est toutefois pas signé par D______ et A______. Ainsi, en vertu du principe de la relativité des conventions, cet avenant n'a a en principe pas de portée à l'égard des deux précités.</w:t>
      </w:r>
    </w:p>
    <w:p>
      <w:r>
        <w:t>Cela étant, la volonté des parties a, malgré tout, été la conclusion d'une convention modifiant la titularité du bail, en ce sens que la partie locataire n'était désormais plus que B______.</w:t>
      </w:r>
    </w:p>
    <w:p>
      <w:r>
        <w:t>- 11/14 -</w:t>
      </w:r>
    </w:p>
    <w:p>
      <w:r>
        <w:t>C/21965/2013</w:t>
      </w:r>
    </w:p>
    <w:p>
      <w:r>
        <w:t>La volonté de cette dernière et de la bailleresse n'est pas discutable, puisqu'elles ont signé un avenant en ce sens.</w:t>
      </w:r>
    </w:p>
    <w:p>
      <w:r>
        <w:t>Quant à A______, elle a déclaré, lors de l'audience du 4 septembre 2014, que c'est elle-même qui avait demandé, en 2002, que le bail soit transféré au nom de sa mère. Sa volonté concordante avec celle de sa mère et de la bailleresse est ainsi acquise. Peu importe qu'elle ait ignoré ou non ses droits. En faisant les démarches pour le compte de sa mère, afin que le bail soit mis au seul nom de cette dernière, la Cour retient qu'elle a manifesté sa volonté claire à ce sujet.</w:t>
      </w:r>
    </w:p>
    <w:p>
      <w:r>
        <w:t>Quant à D______, il faut constater qu'il ressort de la procédure qu'il n'occupe pas le logement et qu'il n'a pas déposé d'action aux côtés de sa sœur et de sa mère, de sorte qu'il semble se désintéresser dudit logement, ce que la Cour tient pour un élément suffisant pour permettre de considérer que l'intention de D______ n'est manifestement pas d'être lié par le rapport de bail litigieux.</w:t>
      </w:r>
    </w:p>
    <w:p>
      <w:r>
        <w:t>Ainsi, il sera retenu que le rapport de bail litigieux a été transféré au seul nom de B______, en qualité de locataire, ceci par avenant du 5 mars 2002.</w:t>
      </w:r>
    </w:p>
    <w:p>
      <w:r>
        <w:t>D'ailleurs, les appelantes en étaient conscientes, puisque B______ a demandé, deux ans plus tard, le 2 février 2014, que sa fille A______ soit ajoutée en tant que co-titulaire, ce qui implique nécessairement la conscience de ce que ce n'était, jusque-là, pas le cas.</w:t>
      </w:r>
    </w:p>
    <w:p>
      <w:r>
        <w:t>A cela s'ajoute encore, que seules A______ et B______ agissent dans le cadre de la présente procédure.</w:t>
      </w:r>
    </w:p>
    <w:p>
      <w:r>
        <w:t>Or, selon la jurisprudence du Tribunal fédéral, un congé doit être contesté par tous les consorts nécessaires que forment les différents titulaires du bail, et lorsque l'action n'est pas introduite par eux tous, elle doit être dirigée également contre le colocataire qui n'agit pas, à défaut de quoi l'action doit être rejetée pour défaut de légitimation active ou passive (ATF 140 III 598). Ainsi, si l'on devait suivre l'argumentation soutenue par les appelantes quant à la titularité du contrat de bail, elles auraient dû assigner D______, à défaut que ce dernier n'agisse avec elles. Le fait qu'elles n'aient pas procédé ainsi, est un indice de ce qu'elles ne considèrent pas que ce dernier est titulaire du bail, ce qui met également à mal la titularité de A______.</w:t>
      </w:r>
    </w:p>
    <w:p>
      <w:r>
        <w:rPr>
          <w:b/>
        </w:rPr>
        <w:t>E. 4.7</w:t>
      </w:r>
    </w:p>
    <w:p>
      <w:r>
        <w:t>En conséquence, il faut constater que seule B______ est titulaire du bail, de sorte que le congé signifié à elle seule n'est pas nul. 5. 5.1 Reste ainsi à examiner les critiques relatives à l'application de l'art. 257f al. 3 CO, disposition sur laquelle la résiliation du contrat est fondée.</w:t>
      </w:r>
    </w:p>
    <w:p>
      <w:r>
        <w:t>5.2 La jurisprudence admet que la sous-location, sans le consentement du bailleur, peut justifier une résiliation anticipée du bail fondée sur l'art. 257f al. 3 CO. Cette</w:t>
      </w:r>
    </w:p>
    <w:p>
      <w:r>
        <w:t>- 12/14 -</w:t>
      </w:r>
    </w:p>
    <w:p>
      <w:r>
        <w:t>C/21965/2013 situation se présente lorsque le locataire passe outre un refus justifié du bailleur de consentir à la sous-location, ou qu'il s'abstient de demander l'autorisation de sous- louer. Dans cette seconde hypothèse, le bailleur doit adresser aux locataires une protestation écrite. Dans tous les cas, en matière de sous-location, l'exigence du caractère insupportable du maintien du contrat pour le bailleur, n'a pas de portée indépendante (ATF 134 III 300 consid. 3.1).</w:t>
      </w:r>
    </w:p>
    <w:p>
      <w:r>
        <w:t>Par ailleurs, il a été jugé que le locataire qui sous-loue, en ayant perdu toute idée de reprendre un jour l'usage de la chose louée, procède en réalité à une substitution de locataires par la voie détournée de la sous-location, et commet ainsi un abus de droit, qui l'empêche de se prévaloir de son droit de sous-louer (ATF 134 III 447 consid. 2.4 et les références).</w:t>
      </w:r>
    </w:p>
    <w:p>
      <w:r>
        <w:t>5.3 En l'espèce, B______ a quitté le logement pour un EMS. Son médecin traitant, entendu comme témoin, a déclaré qu'elle résidait en permanence dans cet EMS, même s'il lui arrivait de se rendre à son ancien domicile. Selon ce témoin, « il n'était pas impossible, mais très difficile que B______ y passe la nuit ». A cela s'ajoute qu'il ressort des enquêtes auxquelles ont procédés les premiers juges, qu'il n'était pas exclu que B______ ait passé quelques nuits dans son logement, mais que A______ avait emménagé dans ledit logement à la suite du départ de sa mère en EMS, déménageant des meubles et refaisant les peintures. Elle a elle-même déclaré, lors de l'audience du 4 septembre 2014, qu'elle avait résilié le bail de son propre logement de 2 pièces en juillet 2013, lorsque sa mère était entrée en EMS. Les explications fournies par elle quant aux raisons pour lesquelles elle avait loué cet appartement de 2 pièces, à savoir échapper à son ex-mari, sont peu crédibles. D'une part, elle ne pouvait échapper à son ex-mari en louant un autre appartement si, comme elle le prétend dans la présente procédure, elle continuait à vivre régulièrement dans le logement litigieux. D'autre part, elle a elle-même déclaré que son mari avait été expulsé de Suisse en 2011, alors qu'elle n'a résilié le bail de son appartement qu'en juillet 2013, soit deux ans plus tard, au moment de l'entrée de sa mère en EMS.</w:t>
      </w:r>
    </w:p>
    <w:p>
      <w:r>
        <w:t>La Cour retiendra ainsi que, depuis le départ de B______ en EMS, le logement est exclusivement occupé par A______, à l'exception de visites ponctuelles de sa mère. De surcroît, seule A______ supporte la charge du loyer. Ainsi, il convient bel et bien de considérer que B______ procède à la sous-location du logement au profit de sa fille, ce qui, comme on l'a vu plus haut, autorise le bailleur à résilier le bail, puisqu'aucune autorisation de sous-location n'a été formulée, pas même après l'envoi de l'avertissement écrit du 3 octobre 2013. De surcroît, B______ qui, vit désormais en EMS, n'a manifestement plus aucune intention ou possibilité de reprendre possession du logement litigieux.</w:t>
      </w:r>
    </w:p>
    <w:p>
      <w:r>
        <w:t>5.4 En conséquence, le congé est valable et le jugement du Tribunal des baux et loyers devra être confirmé.</w:t>
      </w:r>
    </w:p>
    <w:p>
      <w:r>
        <w:t>- 13/14 -</w:t>
      </w:r>
    </w:p>
    <w:p>
      <w:r>
        <w:t>C/21965/2013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C/21965/2013 PAR CES MOTIFS, La Chambre des baux et loyers : A la forme : Déclare recevable l'appel interjeté le 1er juillet 2015 par B______ et A______ contre le jugement JTBL/663/2015 rendu le 28 mai 2015 par le Tribunal des baux et loyers dans la cause C/21965/2013-4 (OOD). Au fond : Confirme ce jugement. Dit que la procédure est gratuite. Déboute les parties de toutes autres conclusions. Siégeant : Madame Nathalie LANDRY-BARTHE, présidente; Madame Sylvie DROIN et Monsieur Laurent RIEBEN,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8</w:t>
      </w:r>
    </w:p>
    <w:p>
      <w:r>
        <w:t>juillet 2014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