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ACJC/1316/2020 vom 8. Oktober 2020</w:t>
      </w:r>
    </w:p>
    <w:p>
      <w:r>
        <w:t>GE Cour de justice, 2020-10-08, FR</w:t>
      </w:r>
    </w:p>
    <w:p>
      <w:r>
        <w:rPr>
          <w:b/>
        </w:rPr>
        <w:t xml:space="preserve">Quelle: </w:t>
      </w:r>
      <w:r>
        <w:t>https://mcp.opencaselaw.ch/entscheid/ge_gerichte_ACJC_1316_2020</w:t>
      </w:r>
    </w:p>
    <w:p>
      <w:r>
        <w:t>FR: GE_GERICHTE ACJC/1316/2020 du 8 octobre 2020</w:t>
      </w:r>
    </w:p>
    <w:p>
      <w:r>
        <w:t>IT: GE_GERICHTE ACJC/1316/2020 del 8 ottobre 2020</w:t>
      </w:r>
    </w:p>
    <w:p>
      <w:pPr>
        <w:pStyle w:val="Heading2"/>
      </w:pPr>
      <w:r>
        <w:t>Erwägungen</w:t>
      </w:r>
    </w:p>
    <w:p>
      <w:r>
        <w:rPr>
          <w:b/>
        </w:rPr>
        <w:t>E. 1.1</w:t>
      </w:r>
    </w:p>
    <w:p>
      <w:r>
        <w:t>Interjeté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pécuniaire, dont la valeur litigieuse est supérieure à 10'000 fr. (art. 92 CPC), l'appel est recevable.</w:t>
      </w:r>
    </w:p>
    <w:p>
      <w:r>
        <w:rPr>
          <w:b/>
        </w:rPr>
        <w:t>E. 1.2</w:t>
      </w:r>
    </w:p>
    <w:p>
      <w:r>
        <w:t>La Cour revoit la cause avec un plein pouvoir d'examen (art. 310 CPC).</w:t>
      </w:r>
    </w:p>
    <w:p>
      <w:r>
        <w:t>- 5/14 -</w:t>
      </w:r>
    </w:p>
    <w:p>
      <w:r>
        <w:t>C/22381/2019 Sa cognition est cependant limitée à la simple vraisemblance des faits et à un examen sommaire du droit, dans la mesure où les mesures provisionnelles sont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 celle de sécurité (arrêt du Tribunal fédéral 5A_335/2019 du 4 septembre 2019 consid. 3.4).</w:t>
      </w:r>
    </w:p>
    <w:p>
      <w:r>
        <w:rPr>
          <w:b/>
        </w:rPr>
        <w:t>E. 1.3</w:t>
      </w:r>
    </w:p>
    <w:p>
      <w:r>
        <w:t>La fixation de la contribution d'entretien du conjoint dans le cadre de mesures protectrices de l'union conjugale est soumise à la maxime de disposition (art. 58 CPC; ATF 129 III 417 consid. 2.1.2; arrêt 5A_751/2019 du 25 février 2020 consid. 1.1) et à la maxime inquisitoire (art. 272 CPC; ATF 129 III 417 précité ibid).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(arrêt du Tribunal fédéral 5A_855/2017 du 11 avril 2018 consid. 4.3.2 et références citées).</w:t>
      </w:r>
    </w:p>
    <w:p>
      <w:r>
        <w:rPr>
          <w:b/>
        </w:rPr>
        <w:t>E. 2</w:t>
      </w:r>
    </w:p>
    <w:p>
      <w:r>
        <w:t>L'appelant se plaint d'une constatation inexacte des faits concernant ses revenus et ses charges, les revenus et les charges de l'intimée, ainsi que du montant de la contribution à l'entretien en faveur de cette dernière.</w:t>
      </w:r>
    </w:p>
    <w:p>
      <w:r>
        <w:rPr>
          <w:b/>
        </w:rPr>
        <w:t>E. 2.1</w:t>
      </w:r>
    </w:p>
    <w:p>
      <w:r>
        <w:t>En cas de suspension de la vie commune, la loi prévoit que le juge fixe les contributions d'entretien à verser respectivement aux enfants et à l'époux (art. 176 al. 1 ch. 1 CC).</w:t>
      </w:r>
    </w:p>
    <w:p>
      <w:r>
        <w:rPr>
          <w:b/>
        </w:rPr>
        <w:t>E. 2.1.1</w:t>
      </w:r>
    </w:p>
    <w:p>
      <w:r>
        <w:t>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(art. 163 al. 2 CC), l'art. 163 CC demeurant en effet la cause de leur obligation d'entretien réciproque.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et 4.2.2; arrêt du Tribunal fédéral 5A_534/2019 du 31 janvier 2020 consid. 4.1 et les références citées). Quand il n'est pas possible de conserver ce niveau de vie, les époux ont droit à un train de vie semblable (ATF 140 III 337</w:t>
      </w:r>
    </w:p>
    <w:p>
      <w:r>
        <w:t>- 6/14 -</w:t>
      </w:r>
    </w:p>
    <w:p>
      <w:r>
        <w:t>C/22381/2019 consid. 4.2.1; arrêt du Tribunal fédéral 5A_276/2019 du 10 octobre 2019 consid. 6.1 et les références citées ).</w:t>
      </w:r>
    </w:p>
    <w:p>
      <w:r>
        <w:t>La loi n'impose pas de méthode de calcul de la contribution d'entretien (ATF 140 III 337 consid. 4.2.2; arrêt du Tribunal fédéral 5A_465/2016 du 19 janvier 2017 consid. 7.2.2). Sa fixation relève de l'appréciation du juge, qui jouit à cet égard d'un large pouvoir et applique les règles du droit et de l'équité (art. 4 CC; ATF 127 III 136 consid. 3a; arrêt du Tribunal fédéral 5A_329/2019 du 25 octobre 2019 consid. 4.1). Quelle que soit la méthode appliquée, le train de vie mené jusqu'à la cessation de la vie commune constitue la limite supérieure du droit à l'entretien (ATF 140 III 337 consid. 4.2.1; arrêt du Tribunal fédéral 5A_534/2019 du 31 janvier 2020 consid. 4.1 et les références citées). Le minimum vital du débirentier doit dans tous les cas être préservé (ATF 144 III 502 consid. 6.4; 140 III 337 consid. 4.3; arrêt du Tribunal fédéral 5A_104/2017 du 11 mai 2017 consid. 3.3.4.2).</w:t>
      </w:r>
    </w:p>
    <w:p>
      <w:r>
        <w:t>L'une des méthodes de calcul en cas de situations financières modestes ou moyennes et tant que dure le mariage est celle dite du minimum vital, avec répartition de l'excédent (arrêt du Tribunal fédéral 5A_587/2018 du 23 octobre 2018 consid. 3.1). Elle consiste à évaluer les ressources de chacun des époux, puis à calculer leurs besoins en prenant comme point de départ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Seules les charges effectives, dont le débirentier s'acquitte réellement, doivent être prises en compte (ATF 121 III 20 consid. 3a; arrêt du Tribunal fédéral 5A_717/2019 du 20 avril 2020 consid. 3.1.2.2 et les références citées).</w:t>
      </w:r>
    </w:p>
    <w:p>
      <w:r>
        <w:t>L'excédent est en règle générale réparti par moitié entre les époux (ATF 121 I 97 consid. 3b; 114 II 26 consid. 7), à moins que l'un d'entre eux ne doive subvenir aux besoins d'enfants mineurs communs (ATF 126 III 8 consid. 3c et les références citées) ou que des circonstances importantes ne justifient de s'en écarter (ATF 119 II 314 consid. 4b/bb; arrêt du Tribunal fédéral 5A_745/2015 du 15 juin 2016 consid. 4.5.2.2). En particulier, la répartition par moitié ne doit pas conduire à une augmentation du train de vie de l'époux crédirentier (ATF 119 II 314 consid. 4b/bb; ATF 114 II 26 consid. 8).</w:t>
      </w:r>
    </w:p>
    <w:p>
      <w:r>
        <w:t>- 7/14 -</w:t>
      </w:r>
    </w:p>
    <w:p>
      <w:r>
        <w:t>C/22381/2019</w:t>
      </w:r>
    </w:p>
    <w:p>
      <w:r>
        <w:rPr>
          <w:b/>
        </w:rPr>
        <w:t>E. 2.1.3</w:t>
      </w:r>
    </w:p>
    <w:p>
      <w:r>
        <w:t>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103 consid. 4.2.2.2; arrêt du Tribunal fédéral 5A_717/2019 du 20 avril 2020 consid. 3.2.3).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5A_454/2017 du 17 mai 2018 consid. 6.1.1 non publié aux ATF 144 III 377).</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5A_534/2019 du 31 janvier 2020 consid. 4.1 et les références citées). Toutefois,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5A_584/2016 du 14 février 2017).</w:t>
      </w:r>
    </w:p>
    <w:p>
      <w:r>
        <w:rPr>
          <w:b/>
        </w:rPr>
        <w:t>E. 2.1.4</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(arrêt du Tribunal fédéral 5A_855/2017 du 11 avril 2018 consid. 3.1). Ainsi, si le débiteur d'entretien vit en concubinage, il convient de ne prendre en compte, dans le calcul de son minimum vital, que la moitié du montant mensuel de base prévu pour le couple (130 III 765 consid. 2.4; arrêt du Tribunal fédéral 5A_6/2019 du 3 juillet 2019), soit la moitié de 1'700 fr. (Normes d'insaisissabilité pour l'année 2020 - RS/GE E 3 60.04), quand bien même il ne s'agit que d'une (simple) communauté domestique et que le concubin n'apporte aucun soutien financier au débirentier (ATF 144 III 502 consid. 6.6; 138 III 97</w:t>
      </w:r>
    </w:p>
    <w:p>
      <w:r>
        <w:t>- 8/14 -</w:t>
      </w:r>
    </w:p>
    <w:p>
      <w:r>
        <w:t>C/22381/2019 consid. 2.3.2; ACJC/1326/2016 du 7 octobre 2016, consid. 5.1.2).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(arrêt du Tribunal fédéral 5A_855/2017 précité consid. 3.1). Par ailleurs, comme la loi n'impose aucune obligation d'entretien entre personnes non mariées, le débiteur d'entretien ne peut diminuer la contribution en faveur de son époux en se prévalant d'un concubinage et de l'entretien qu'il fournirait à ce titre à son nouveau compagnon (CHRISTINAT, Concubins, de la trame de fond au premier plan, Newsletter DroitMatrimonial.ch, avril 2014).</w:t>
      </w:r>
    </w:p>
    <w:p>
      <w:r>
        <w:rPr>
          <w:b/>
        </w:rPr>
        <w:t>E. 2.1.5</w:t>
      </w:r>
    </w:p>
    <w:p>
      <w:r>
        <w:t>Selon l'art. 276a al. 1 CC, l'obligation d'entretien envers un enfant mineur prime les autres obligations d'entretien du droit de la famille. Par ailleurs, chaque époux est tenu d’assister son conjoint de façon appropriée dans l’accomplissement de son obligation d’entretien envers les enfants nés avant le mariage (art. 278 al. 2 CO). Ce devoir d'assistance n'existe pas pour le concubin à l'égard de l'enfant de son partenaire, sauf à y être engagé dans une convention de partenariat (MEIER/STETTLER, Droit de la filiation, 6ème éd. 2019, n. 1349; FOUNTOULAKIS/BREITSCHMID, in Basler Kommentar, ZGB I, n. 6 ad art. 278 CC; PIOTET, in Commentaire romand, CC I, n. 11 ad art. 278 CC).</w:t>
      </w:r>
    </w:p>
    <w:p>
      <w:r>
        <w:rPr>
          <w:b/>
        </w:rPr>
        <w:t>E. 2.2</w:t>
      </w:r>
    </w:p>
    <w:p>
      <w:r>
        <w:t>En l'espèce, les parties ne remettent pas en cause la méthode du minimum vital avec répartition de l'excédent appliquée par le premier juge, laquelle est par ailleurs conforme aux principes rappelés ci-avant. Il convient dès lors de déterminer les revenus et les charges des parties.</w:t>
      </w:r>
    </w:p>
    <w:p>
      <w:r>
        <w:rPr>
          <w:b/>
        </w:rPr>
        <w:t>E. 2.2.1</w:t>
      </w:r>
    </w:p>
    <w:p>
      <w:r>
        <w:t>Le salaire mensuel de l'appelant est de 6'164 fr. Ce point n'est pas contesté par les parties. S'agissant des revenus immobiliers, c'est à tort que l'appelant reproche au Tribunal de ne pas avoir déduit les charges relatives à l'entretien des locaux en location. L'autorité précédente s'est en effet basée sur les montants avancés par l'appelant dans sa déclaration fiscale et retenus par l'autorité de taxation, soit un revenu brut immobilier de 76'249 fr. (6'354 fr. par mois), dont il convient de déduire des charges et frais d'entretien de 31'525 fr. (2'627 fr. par mois), les intérêts hypothécaires étant comptabilisés séparément dans les charges de l'appelant (consid. 2.2.2 ci-dessous). Le revenu net immobilier de l'appelant se monte donc à 3'727 fr. par mois (6'354 fr. – 2'627 fr.). Dès lors, c'est à juste titre que le Tribunal a établi le revenu de l'appelant à 9'890 fr. (6'164 fr. + 3'727 fr., arrondi).</w:t>
      </w:r>
    </w:p>
    <w:p>
      <w:r>
        <w:rPr>
          <w:b/>
        </w:rPr>
        <w:t>E. 2.2.2</w:t>
      </w:r>
    </w:p>
    <w:p>
      <w:r>
        <w:t>S'agissant des charges de l'appelant, le Tribunal a, à juste titre, retenu la moitié du montant de base OP d'un couple compte tenu du concubinage avec sa</w:t>
      </w:r>
    </w:p>
    <w:p>
      <w:r>
        <w:t>- 9/14 -</w:t>
      </w:r>
    </w:p>
    <w:p>
      <w:r>
        <w:t>C/22381/2019 nouvelle compagne (850 fr.). Contrairement à ce que soutient l'appelant, le fait que sa compagne ne serait pas en mesure de subvenir à ses besoins de base n'a aucune incidence. Le soutien que l'appelant prétend fournir à sa concubine, qui ne repose sur aucune obligation, ne saurait réduire l'entretien dû, de par la loi, à son épouse. La Cour retiendra en revanche l'intégralité des intérêts hypothécaires relatifs au logement de l'appelant. D'une part, avec la naissance de l'enfant commun de l'appelant et de sa compagne, la capacité de travail de cette dernière sera vraisemblablement limitée. D'autre part, le couple vit dans le logement familial que l'appelant partageait auparavant avec son épouse. Ainsi, ses frais de logement n'ont pas augmenté du fait de la constitution d'un nouveau foyer et restent les mêmes que s'il avait continué à vivre seul dans le logement familial. Les intérêts hypothécaires de ce logement se montent à 1'002 fr. par mois. Par ailleurs, comme retenu par l'autorité précédente, les intérêts hypothécaires des locaux commerciaux dont l'appelant est propriétaire se montent à 391 fr. 60 par mois. Les frais de prise en charge des enfants de la compagne de l'appelant n'ont pas à être pris en compte, faute de devoir d'assistance de l'appelant. Les allégations de l'appelant à cet égard ne sont dès lors pas pertinentes. S'agissant des charges relatives à l'enfant commun de l'appelant et de sa compagne, qui devait naître en juin 2020 d'après les déclarations de l'appelant, les parties admettent en revanche le montant de 300 fr. retenu par le Tribunal, de sorte qu'il n'y a pas lieu d'y revenir. L'appelant voudrait voir les charges relatives à l'enfant prises en compte dès le mois de juin 2020. Toutefois, aucune pièce au dossier ne permet d'établir le terme prévu pour la naissance ou la date de celle-ci. En particulier, il appartenait à l'appelant de faire valoir, le cas échéant, des faits nouveaux une fois l'enfant né (art. 317 al. 1 CPC). La Cour s'en tiendra dès lors au moment déterminant retenu par le Tribunal, soit août 2020. S'agissant du montant des primes d'assurance-maladie, le Tribunal a, à juste titre, retenu le montant de 322 fr. que l'appelant a déclaré payer lors de son audition par le Tribunal. Le montant de 623 fr. 50 que l'appelant entend voir retenu ressort de sa déclaration fiscale. Cependant, en l'absence de décompte de primes attestant que le montant précité aurait été réellement payé, ce document a simple valeur d'allégation. Pour la même raison, les frais médicaux avancés par l'appelant ne doivent pas être pris en compte, ce d'autant plus qu'ils n'ont pas été allégués en première instance, étant précisé qu'il en ira de même pour les frais médicaux de l'intimée (cf. consid. 2.2.4).</w:t>
      </w:r>
    </w:p>
    <w:p>
      <w:r>
        <w:t>- 10/14 -</w:t>
      </w:r>
    </w:p>
    <w:p>
      <w:r>
        <w:t>C/22381/2019 En première instance, l'appelant n'a ni allégué, ni prouvé les frais de transport qu'il voudrait voir pris en compte. Dès lors, il ne peut pas être reproché au Tribunal de ne pas avoir retenu cette charge, dont il n'est pas vraisemblable qu'il ait à la supporter, quand bien même il exerce une activité salariée, de sorte qu'elle ne sera pas retenue, l'appelant n'invoquant par ailleurs aucun fait nouveau recevable à cet égard permettant d'en tenir compte. Au vu de l'issue du litige, point n'est par ailleurs besoin de déterminer si des frais de transports publics devraient être pris en compte. L'appelant conteste encore le montant des impôts. Rien ne permet d'affirmer qu'il ne s'acquitterait pas de ses impôts, de sorte que sa dette fiscale doit être prise en compte dans le calcul de ses charges. Il convient d'estimer les impôts de l'appelant au moyen de la calculette mise à disposition par l'Administration fiscale cantonale sur son site internet. Compte tenu d'un domicile à D______ [GE], d'un revenu annuel net de 118'680 fr. (9'890 fr. x 12), déduction faite du forfait de frais professionnels (1'697 fr.), des intérêts hypothécaires de l'appartement et des locaux commerciaux (4'505 fr. + 7'519 fr. + 2086 fr. 55 + 2'162 fr. 50 = 16'723 fr., arrondi), des primes d'assurance-maladie (322 fr. x 12 = 3'864 fr.) et de la contribution d'entretien due à l'intimée (24'000 fr.), les impôts de l'appelant peuvent être estimés à 14'347 fr. 35 par an, soit 1'195 fr. 60 par mois. Pour calculer la charge fiscale à partir d'août 2020, il faudrait encore tenir compte de la présence d'un enfant à charge dans le foyer de l'appelant. Vu l'issue de l'appel, la Cour ne procédera toutefois pas à ce calcul, étant néanmoins relevé que cette circonstance réduira les impôts de l'appelant. En définitive, les charges de l'appelant se montent à 3'761 fr. 20 (850 fr. + 1'002 fr. + 322 fr. + 1'195 fr. 60 + 391 fr. 60) jusqu'à fin juillet 2020. Dès le mois d'août 2020, elles seront de 4'061 fr. 20 compte tenu de l'entretien de l'enfant commun de l'appelant et de sa compagne.</w:t>
      </w:r>
    </w:p>
    <w:p>
      <w:r>
        <w:rPr>
          <w:b/>
        </w:rPr>
        <w:t>E. 2.2.3</w:t>
      </w:r>
    </w:p>
    <w:p>
      <w:r>
        <w:t>Les revenus effectifs réalisés par l'intimée ne sont pas contestés par les parties. L'appelant soutient toutefois que le revenu hypothétique imputé à celle-ci devrait être arrêté à 4'400 fr. compte tenu du salaire qu'elle réalisait avant son licenciement. Par ailleurs, l'appelant soutient qu'aucun délai n'aurait dû être accordé à l'intimée pour qu'elle trouve un emploi. Il ressort du calculateur individuel de salaires de la Confédération "Salarium" que le salaire brut mensuel médian pour une activité à plein temps (40h/semaine), de type "Commerçant(e)s et vendeurs/euses", sans fonction de cadre, dans la branche "Commerce de détail", s'élevait pour les femmes titulaires d'un permis d'établissement, à 4'250 fr. Il n'est dès lors pas vraisemblable que l'intimée puisse obtenir le montant allégué par l'appelant, en l'absence d'élément permettant de le retenir, le fait que tel a déjà été le cas par le passé n'étant pas à lui seul suffisant.</w:t>
      </w:r>
    </w:p>
    <w:p>
      <w:r>
        <w:t>- 11/14 -</w:t>
      </w:r>
    </w:p>
    <w:p>
      <w:r>
        <w:t>C/22381/2019 Compte tenu de déductions sociales de l'ordre de 10 à 15%, le montant de 4'000 fr. retenu par le Tribunal paraît même élevé; il n'est toutefois pas remis en cause par l'intimée, de sorte que la Cour n'y reviendra pas. S'agissant du délai accordé à l'intimée, on ne saurait assimiler sa situation à celle d'une personne qui aurait volontairement diminué son revenu. En effet, ce n'est pas elle qui a mis fin à ses précédents emplois, mais elle a été licenciée, la première fois en avril 2019 après une incapacité de travail prolongée et la seconde en août 2019, après avoir travaillé un mois à 50%. Il n'existe par ailleurs pas d'élément rendant vraisemblable qu'elle a volontairement renoncé à l'obtention d'un revenu, la perception d'indemnités de chômage tendant plutôt à indiquer qu'elle a fait des efforts pour retrouver un emploi. Dès lors, il n'y a pas lieu d'imputer le revenu hypothétique rétroactivement et le délai de trois mois accordé par le Tribunal est adéquat. En définitive, le revenu hypothétique de 4'000 fr. imputé à l'intimée à partir du 1er août 2020 sera confirmé. Pour le surplus, conformément à ce qu'a retenu le Tribunal, son revenu mensuel était de 4'400 fr. jusqu'en avril 2019 et de 3'040 fr. entre mai 2019 et juillet 2020.</w:t>
      </w:r>
    </w:p>
    <w:p>
      <w:r>
        <w:rPr>
          <w:b/>
        </w:rPr>
        <w:t>E. 2.2.4</w:t>
      </w:r>
    </w:p>
    <w:p>
      <w:r>
        <w:t>S'agissant des charges de l'intimée, l'appelant soutient que l'autorité précédente aurait dû tenir compte de 270 fr. de frais médicaux et de frais de transport de 70 fr. et arrêter celles-ci à 2'780 fr. L'intimée n'a pas allégué ces charges en première instance et ne s'en prévaut pas non plus devant la Cour. Dès lors, la Cour ne s'écartera pas du montant des charges retenu par le Tribunal, soit 2'440 fr.</w:t>
      </w:r>
    </w:p>
    <w:p>
      <w:r>
        <w:rPr>
          <w:b/>
        </w:rPr>
        <w:t>E. 2.2.5</w:t>
      </w:r>
    </w:p>
    <w:p>
      <w:r>
        <w:t>Compte tenu de ce qui précède, le revenu total des parties était de 14'290 fr. jusqu'en avril 2019 (9'890 fr. + 4'400 fr.), de 12'930 fr. de mai 2019 à juillet 2020 (9'890 fr. + 3'040 fr.) et sera de 13'890 fr. dès août 2020. Les charges des parties se montaient à 6'201 fr. 20 jusqu'en juillet 2020 et seront de 6'501 fr. 20 dès août 2020. Dès lors, jusqu'en en avril 2019, le disponible (arrondi) des parties était de 8'088 fr., dont la moitié, soit 4'044 fr. revient à l'épouse. Compte tenu d'un disponible propre de 1'960 fr. (4'400 fr. – 2'440 fr.), elle pourrait prétendre à une contribution d'entretien de 2'084 fr. Pour la période de mai 2019 à juillet 2020, le disponible (arrondi) des parties était de 6'728 fr., dont la moitié, soit 3'364 fr., revient à l'épouse. Compte tenu d'un disponible propre de 600 fr. (3'040 fr. – 2'440 fr.), elle pourrait prétendre à une contribution d'entretien de 2'764 fr.</w:t>
      </w:r>
    </w:p>
    <w:p>
      <w:r>
        <w:t>- 12/14 -</w:t>
      </w:r>
    </w:p>
    <w:p>
      <w:r>
        <w:t>C/22381/2019 Dès août 2020, le disponible (arrondi) des parties sera de 7'388 fr., dont la moitié, soit 3'694 fr., revient à l'épouse. Compte tenu d'un disponible propre de 1'560 fr. (4'000 – 2'440), elle peut prétendre à une contribution d'entretien de 2'134 fr. L'appelant soutient que le disponible ne devrait pas être partagé par moitié, car il vit avec cinq, voire six personnes dans son foyer, dont il assume les charges, alors que l'intimée cohabite avec son fils majeur. Ce faisant, il perd de vue que l'intimée peut prétendre au maintien du train de vie précédant la séparation, ce que la répartition de l'excédent par moitié vise à préserver. En particulier, l'appelant n'allègue pas que la contribution d'entretien placerait l'intimée dans une situation meilleure que celle qui prévalait avant la séparation. Il ne se justifie donc pas de modifier la clé de répartition usuelle. Du reste, attribuer à l'appelant, pour les motifs qu'il avance, une proportion plus importante de l'excédent, reviendrait à lui reconnaître un devoir d'entretien envers sa compagne et les enfants de celle-ci, qui entrerait en concurrence avec l'obligation d'entretien envers l'intimée. Or, comme exposé plus haut, une telle obligation n'existe pas en l'espèce, hormis l'entretien dû à l'enfant commun de l'appelant et de sa compagne, qui a été pris en compte dans les charges de l'appelant.</w:t>
      </w:r>
    </w:p>
    <w:p>
      <w:r>
        <w:rPr>
          <w:b/>
        </w:rPr>
        <w:t>E. 2.3</w:t>
      </w:r>
    </w:p>
    <w:p>
      <w:r>
        <w:t>Vu ce qui précède, c'est à bon droit que le Tribunal a fixé la contribution d'entretien à 2'000 fr., qui correspond à la somme réclamée par l'intimée.</w:t>
      </w:r>
    </w:p>
    <w:p>
      <w:r>
        <w:rPr>
          <w:b/>
        </w:rPr>
        <w:t>E. 3</w:t>
      </w:r>
    </w:p>
    <w:p>
      <w:r>
        <w:t>L'appelant reproche au Tribunal d'avoir retenu qu'il n'avait pas contribué à l'entretien de l'intimée depuis la séparation. Il soutient qu'il conviendrait de déduire du montant de la contribution d'entretien les acomptes versés pour les impôts 2018, imputés à l'intimée par l'Administration fiscale cantonale. Au total, un montant de 5'565 fr., soit 465 fr. par mois (463 fr. 75, arrondi) aurait déjà été versé pour l'entretien de l'intimée; par conséquent, ce montant devrait être déduit de la contribution d'entretien pour la période allant du 4 octobre 2018 au</w:t>
      </w:r>
    </w:p>
    <w:p>
      <w:r>
        <w:rPr>
          <w:b/>
        </w:rPr>
        <w:t>E. 3.1</w:t>
      </w:r>
    </w:p>
    <w:p>
      <w:r>
        <w:t>Les contributions pécuniaires fixées par le juge en procédure de mesures protectrices de l'union conjugale peuvent être réclamées pour l'avenir et pour l'année qui précède l'introduction de la requête (art. 279 al. 1, 173 al. 3 CC, applicable dans le cadre de l'organisation de la vie séparée selon l'art. 176 CC; ATF 115 II 201 consid. 2; arrêts du Tribunal fédéral 5A_458/2014 du</w:t>
      </w:r>
    </w:p>
    <w:p>
      <w:r>
        <w:rPr>
          <w:b/>
        </w:rPr>
        <w:t>E. 3.2</w:t>
      </w:r>
    </w:p>
    <w:p>
      <w:r>
        <w:t>En l'espèce, les parties ne contestent pas que l'appelant payait les factures du couple avant leur séparation intervenue le 4 octobre 2018, ce qui semble inclure les acomptes pour les impôts 2018 du couple. En revanche, l'appelant n'a rien payé à partir de cette date et il n'a du reste pas allégué devant le Tribunal avoir contribué à l'entretien de l'intimée après la séparation. On peut tout au plus imaginer une diminution de la contribution d'entretien due pour octobre à décembre 2018 dans la mesure où les impôts de l'intimée relatifs à ces mois-là auraient déjà été couverts par les acomptes versés par l'époux avant la séparation. Dans cette optique, il appartenait toutefois à l'appelant d'alléguer et de rendre vraisemblable que les acomptes payés par lui et imputés à l'intimée dépassaient la part des impôts afférente aux mois de janvier à septembre 2018, période où les époux vivaient encore ensemble et où l'appelant s'acquittait des factures du couple. Faute d'une telle démonstration, le grief de l'appelant sera écarté.</w:t>
      </w:r>
    </w:p>
    <w:p>
      <w:r>
        <w:rPr>
          <w:b/>
        </w:rPr>
        <w:t>E. 3.3</w:t>
      </w:r>
    </w:p>
    <w:p>
      <w:r>
        <w:t>Vu ce qui précède, il n'y a pas lieu de réduire la contribution d'entretien réclamée par l'intimée. Le jugement de première instance sera donc confirmé. 4. Les frais judiciaires d'appel seront fixés à 800 fr. (art. 31 et 37 RTFMC), mis à la charge de l'appelant, qui succombe, et compensés avec l'avance versée par celui-ci, qui reste acquise à l'Etat de Genève (art. 106 al.1 et 111 al. 1 CPC). Compte tenu de la nature familiale du litige, chaque partie supportera ses propres dépens d'appel (art. 107 al. 1 let. C CPC). * * * * *</w:t>
      </w:r>
    </w:p>
    <w:p>
      <w:r>
        <w:t>- 14/14 -</w:t>
      </w:r>
    </w:p>
    <w:p>
      <w:r>
        <w:t>C/22381/2019 PAR CES MOTIFS, La Chambre civile : A la forme : Déclare recevable l'appel interjeté le 27 avril 2020 par A______ contre le chiffre 2 du dispositif du jugement JTPI/4471/2020 rendu le 14 avril 2020 par le Tribunal de première instance dans la cause C/22381/2019-19. Au fond : Confirme le jugement attaqué. Déboute les parties de toutes autres conclusions. Sur les frais : Arrête les frais judiciaires d'appel à 800 fr., les met à la charge de A______ et les compense avec l'avance versée, qui reste acquise à l'Etat de Genève. Dit que chaque partie supporte ses propres dépens d'appel. Siégeant : Madame Sylvie DROIN, présidente; Madame Nathalie LANDRY-BARTHE, Monsieur Laurent RIEBEN, juges; Madame Sophie MARTINEZ, greffière.</w:t>
      </w:r>
    </w:p>
    <w:p>
      <w:r>
        <w:t>La présidente : Sylvie DROIN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octobre 2019.</w:t>
      </w:r>
    </w:p>
    <w:p>
      <w:r>
        <w:rPr>
          <w:b/>
        </w:rPr>
        <w:t>E. 8</w:t>
      </w:r>
    </w:p>
    <w:p>
      <w:r>
        <w:t>janvier 2007 consid. 3.2; ATF 111 II 103 consid. 4). Un éventuel effet rétroactif ne se justifie que si l'entretien dû n'a pas été assumé en nature ou en espèces et dès</w:t>
      </w:r>
    </w:p>
    <w:p>
      <w:r>
        <w:t>- 13/14 -</w:t>
      </w:r>
    </w:p>
    <w:p>
      <w:r>
        <w:t>C/22381/2019 qu'il a cessé de l'être (arrêt du Tribunal fédéral 5A_591/2011 du 7 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