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ACJC/1316/2013 vom 8. November 2013</w:t>
      </w:r>
    </w:p>
    <w:p>
      <w:r>
        <w:t>GE Cour de justice, 2013-11-08, FR</w:t>
      </w:r>
    </w:p>
    <w:p>
      <w:r>
        <w:rPr>
          <w:b/>
        </w:rPr>
        <w:t xml:space="preserve">Quelle: </w:t>
      </w:r>
      <w:r>
        <w:t>https://mcp.opencaselaw.ch/entscheid/ge_gerichte_ACJC_1316_2013</w:t>
      </w:r>
    </w:p>
    <w:p>
      <w:r>
        <w:t>FR: GE_GERICHTE ACJC/1316/2013 du 8 novembre 2013</w:t>
      </w:r>
    </w:p>
    <w:p>
      <w:r>
        <w:t>IT: GE_GERICHTE ACJC/1316/2013 del 8 novembre 2013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w:t>
      </w:r>
    </w:p>
    <w:p>
      <w:r>
        <w:t>- 7/16 -</w:t>
      </w:r>
    </w:p>
    <w:p>
      <w:r>
        <w:t>C/21141/2012 mesures protectrices étant régis par la procédure sommaire, selon l'art. 271 CPC, le délai pour l'introduction de l'appel est de dix jours (art. 314 al. 1 CPC). L'appel a été interjeté dans le délai de dix jours (art. 271 lit. a et 314 al. 1 CPC) et suivant la forme prescrite par la loi (art. 130, 131, 311 al. 1 CPC).</w:t>
      </w:r>
    </w:p>
    <w:p>
      <w:r>
        <w:t>La voie de l'appel est ouverte (art. 308 al. 1 let. b et al. 2 CPC), la contestation portant sur des contributions dont la valeur litigieuse est supérieure à 10'000 fr. (15'000 fr. x 12 x 20, art. 92 al. 2 CPC). Par conséquent, l'appel, qui contient, entre autres, des conclusions réformatoires, est recevable (art. 318 al. 1 lit. a et b CPC).</w:t>
      </w:r>
    </w:p>
    <w:p>
      <w:r>
        <w:rPr>
          <w:b/>
        </w:rPr>
        <w:t>E. 1.2</w:t>
      </w:r>
    </w:p>
    <w:p>
      <w:r>
        <w:t>La Cour revoit la cause en fait et en droit avec un plein pouvoir d'examen (art. 310 CPC).</w:t>
      </w:r>
    </w:p>
    <w:p>
      <w:r>
        <w:rPr>
          <w:b/>
        </w:rPr>
        <w:t>E. 1.3</w:t>
      </w:r>
    </w:p>
    <w:p>
      <w:r>
        <w:t>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 Dans la mesure des conclusions prises en appel (art. 315 al. 1 CPC), la Cour établit les faits d’office (art. 272 CPC; maxime inquisitoire). Le principe de disposition s'applique à la contribution d'entretien du conjoint (art. 58 al. 1 CPC), vu l'absence d'enfant mineur.</w:t>
      </w:r>
    </w:p>
    <w:p>
      <w:r>
        <w:rPr>
          <w:b/>
        </w:rPr>
        <w:t>E. 1.4</w:t>
      </w:r>
    </w:p>
    <w:p>
      <w:r>
        <w:t>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décembre 2011 consid. 4.1 et 4.2). Plus récemment, le Tribunal fédéral a précisé que l'art. 317 al. 1 CPC régit de manière complète et autonome la possibilité pour les parties d'invoquer des faits et</w:t>
      </w:r>
    </w:p>
    <w:p>
      <w:r>
        <w:t>- 8/16 -</w:t>
      </w:r>
    </w:p>
    <w:p>
      <w:r>
        <w:t>C/21141/2012 moyens de preuve nouveaux en procédure d'appel (arrêts du Tribunal fédéral 4A_228/2012 du 28 août 2012 consid. 2.2, publié aux ATF 138 III 625;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l'espèce, les pièces nouvelles de l'appelant nos 40 à 61 sont irrecevables, l'appelant n'indiquant par pour quel motif il aurait éventuellement été empêché de les produire devant le premier juge. Les autres pièces nouvelles sont recevables, y compris l'ordonnance produite sous la pièce no 63, qui, bien qu'antérieure à la mise en délibération de la cause par le Tribunal, était connue de celui-ci dès lors qu'il l'a lui-même prononcée. La pièce nouvelle no 45 de l'intimée est irrecevable, l'intimée n'indiquant pas pour quelle raison elle n'aurait pas pu la fournir au premier juge. Sa pièce no 38 est partiellement irrecevable, dès lors qu'elle contient quelques factures établies antérieurement à la mise en délibération de la cause par le Tribunal. Les autres pièces nouvelles sont recevables. 2. Le Tribunal examine d'office si les conditions de recevabilité de l'action sont remplies (art. 60 CPC). 2.1. La cause revêt un caractère international compte tenu de la nationalité étrangère des parties. Vu le domicile de celles-ci dans le canton de Genève, le premier juge a retenu à juste titre la compétence des tribunaux genevois (art. 46 LDIP) ainsi que l'application du droit suisse (art. 48 et 49 LDIP, art. 4 de la Convention du 2 octobre 1973 sur la loi applicable aux obligations alimentaires), ce qui n'est au demeurant pas contesté par les parties. 2.2. Lorsque le juge du divorce saisi d'une requête de mesures provisionnelles est saisi, la procédure de mesures protectrices ne devient pas sans objet, le juge des mesures protectrices demeurant en effet compétent pour la période antérieure à la litispendance, et ce, même s'il ne rend sa décision que postérieurement (ATF 129 III 60 consid. 3). La décision de mesures protectrices déploie ses effets, au-delà de la litispendance, jusqu'à ce que le juge des mesures provisionnelles l'ait modifiée (ATF 138 III 646 consid. 3.3.2.; 129 III 60 consid. 2). 2.3. En l'espèce, la procédure de divorce, et a fortiori celle de mesures provisionnelles, n'étaient pas encore pendantes lors du dépôt de la requête de mesures protectrices, de sorte que l'intimée conservait un intérêt à l'action, étant précisé qu'elle a demandé une contribution avec effet au 19 octobre 2011. C'est essentiellement ce qui distingue le cas d'espèce du cas décrit dans l'arrêt du</w:t>
      </w:r>
    </w:p>
    <w:p>
      <w:r>
        <w:t>- 9/16 -</w:t>
      </w:r>
    </w:p>
    <w:p>
      <w:r>
        <w:t>C/21141/2012 Tribunal fédéral 5A_139/2010 du 13 juillet 2010, auquel se réfère à tort l'appelant, dès lors que cet arrêt statuait sur la modification, pour quelques jours seulement, de mesures protectrices prononcées précédemment. Savoir si la requête de mesures protectrices déposée en l'espèce a le même objet que la requête de mesures provisionnelles intervenue ultérieurement, ce qui est contesté, n'est, quoi qu'il en soit, pas déterminant compte tenu de la jurisprudence qui précède. Que l'intimée ait éventuellement su que l'appelant comptait déposer une demande de divorce n'exclut pas son intérêt à agir, d'autant moins qu'il n'est pas établi qu'elle ait connu la date à laquelle celui-ci allait saisir le Tribunal. De surcroît, dès lors que la date du dépôt de la demande de divorce relève de la volonté de l'appelant, c'est en réalité de lui seul que dépend la brièveté du laps de temps écoulé entre celle-ci et la requête de mesures protectrices de l'union conjugale. Par ailleurs, bien que des discussions concernant les aspects financiers de leur séparation aient pu avoir lieu entre les parties, aucun accord n'était signé à cet égard à la date du dépôt de la requête de mesures protectrices de l'union conjugale. Toute démarche abusive de la part de l'intimée est donc exclue. Compte tenu de ce qui précède, la requête était recevable, étant précisé qu'en retenant que celle-ci n'était pas dénuée d'objet, le jugement attaqué est suffisamment motivé sur ce point. Le grief de l'appelant à cet égard est, partant, infondé. 3. L'appelant fait grief au premier juge d'avoir fixé une contribution d'entretien en faveur de l'intimée. Il ne critique pas le calcul effectué selon la méthode du minimum vital élargi avec répartition de l'excédent, mais conteste des éléments retenus au titre des charges et revenus de l'intimée, respectivement de ses propres charges. 3.1. Même lorsqu'on ne peut plus sérieusement compter sur la reprise de la vie commune, l'art. 163 CC demeure la cause de l'obligation d'entretien réciproque des époux en mesures protectrices de l'union conjugale.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w:t>
      </w:r>
    </w:p>
    <w:p>
      <w:r>
        <w:t>- 10/16 -</w:t>
      </w:r>
    </w:p>
    <w:p>
      <w:r>
        <w:t>C/21141/2012 l'augmentation de l'activité lucrative d'un époux (arrêt du Tribunal fédéral 5A_661/2011 du 10 février 2012 consid. 4.2.1 et 4.2.2, ATF 137 III 385 consid. 3.1).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Le Tribunal fédéral a toutefois rappelé que la répartition du disponible entre les époux ne doit pas conduire à un pur calcul mathématique, mais que la fixation de la contribution d'entretien dépend en définitive du large pouvoir d'appréciation du juge (arrêt du Tribunal fédéral 5C.23/2002 du 21 juin 2002 consid. 2b), qui applique les règles du droit et de l'équité (art. 4 CC). En cas de situation financière favorable, il faut tenir compte des dépenses indispensables au maintien des conditions de vie antérieures (arrêt du Tribunal fédéral 5A_453/2009 du 9 novembre 2009 consid. 5.2.). Aux termes de l'art. 173 al. 3 CC, applicable en cas de vie séparée selon l'art. 176 CC (ATF 115 II 57 = JdT 1991 I 537), la contribution d'entretien peut être réclamée pour l'avenir et pour l'année qui précède l'introduction de la requête. 3.2. Ainsi, contrairement à ce que soutient l’appelant, le premier juge ne devait pas se fonder sur l’art. 125 CC pour déterminer la contribution d’entretien en faveur de la famille. En effet, tant que dure le mariage, l'art. 163 al. 1 CC constitue la cause de l'obligation d'entretien.</w:t>
      </w:r>
    </w:p>
    <w:p>
      <w:r>
        <w:t>- 11/16 -</w:t>
      </w:r>
    </w:p>
    <w:p>
      <w:r>
        <w:t>C/21141/2012 Les époux étant séparés, chacun d'eux doit participer, comme il le peut, aux frais supplémentaires résultant de cette nouvelle situation. Dès lors que chacun d'eux travaillait et réalisait de bons revenus à l'époque de la vie commune - étant rappelé que le couple est demeuré sans enfants -, il n'y a pas lieu de modifier la convention existant entre les époux à cet égard. 3.3. En l'occurrence, les revenus de l'appelant s'élèvent, à tout le moins, à 28'330 fr. Ses charges totalisent 10'942 fr., étant précisé, concernant ses impôts, que le montant retenu par le premier juge sur la base de l'estimation fournie par l'appelant n'est en tout état de cause pas sous-évalué. En effet, selon une simulation effectuée sur le site de l'administration fiscale cantonale, le total des impôts de l'appelant pour l'année 2013 s'élève à 72'586 fr. 55, soit 6'047 fr. par mois (simulation tenant compte notamment d'indications fournies par l'appelant dans sa déclaration fiscale pour l'année 2011, d'éléments retenus ci-dessus dans la partie en fait et de la contribution d'entretien fixée ci-dessous). Il n'y a donc pas lieu de tenir compte de la nouvelle estimation fournie par l'appelant. 3.4. L'intimée a perçu, jusqu'à la fin du mois de juillet 2013, des indemnités de l'assurance chômage de l'ordre de 5'800 fr. net. A teneur des pièces et de ses déclarations, ce sont vraisemblablement des problèmes de santé qui ont conduit l'intimée à quitter son dernier emploi, à la fin du mois d'octobre 2011, et qui l'ont empêchée d'exercer une activité lucrative en tout cas en 2012. Au printemps 2013, l'intimée a subi une opération et une incapacité de travail d'environ un mois. Si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et 114 II 13 consid. 5). Le motif pour lequel le débirentier a renoncé à un revenu ou à un revenu supérieur est, dans la règle, sans importance. En effet, la prise en compte d'un revenu hypothétique ne revêt pas un caractère pénal (arrêt du Tribunal fédéral 5A_18/2011 du 1er juin 2011 consid. 3.1.1, ATF 128 III 4 consid. 4a = JdT 2002 I 294). L'imputation automatique d'un revenu équivalent à celui que le conjoint gagnait précédemment et auquel il a volontairement renoncé viole le droit fédéral. Il faut examiner si le conjoint a toujours la possibilité d'obtenir encore le même revenu</w:t>
      </w:r>
    </w:p>
    <w:p>
      <w:r>
        <w:t>- 12/16 -</w:t>
      </w:r>
    </w:p>
    <w:p>
      <w:r>
        <w:t>C/21141/2012 (question de fait), en faisant preuve de bonne volonté et en accomplissant l'effort que l'on peut exiger de lui (question de droit; arrêt du Tribunal fédéral 5A_290/2010 du 28 octobre 2010 consid. 3.1). A l'époque du mariage, l'intimée réalisait un revenu annuel brut de 180'000 fr. Après avoir démissionné en janvier 2009, elle a retrouvé un emploi en juillet 2010 en tant directrice de marketing pour un salaire mensuel brut d'environ 10'500 fr. L'intimée a allégué avoir démissionné en octobre 2011 de son dernier emploi en raison de problèmes de santé. Elle a été en incapacité de travail depuis le 29 novembre 2011 et s'est inscrite, en mars 2012, auprès de l'Office cantonal de l'emploi, lequel l'a déclarée inapte au placement par décision du 26 juin 2012. Elle a indiqué être à nouveau à la recherche d'un emploi dans le domaine du marketing et de la gestion depuis mars 2013. Cela étant, elle a encore subi une opération en avril 2013 et est à nouveau capable de travailler depuis le 27 mai 2013. L'intimée a toujours travaillé durant la vie commune (excepté quelques mois avant la séparation). Âgée de 40 ans, elle possède à tout le moins une solide expérience professionnelle dans le domaine du marketing. Malgré ses divers problèmes de santé l'ayant précédemment empêché de travailler, elle paraît désormais être en mesure d'effectuer des recherches d'emploi et il existe ainsi de bonnes chances qu'elle puisse retrouver du travail dans son domaine d'activité. Il peut raisonnablement être exigé d'elle, dès lors, de recommencer à travailler dans le domaine du marketing ou de la gestion, qui sont ceux dans lesquels elle a indiqué rechercher un emploi, étant relevé qu'elle travaillait en qualité de directrice marketing en dernier lieu. A ce sujet, il est notoire que le marché de l'emploi offre des possibilités d'embauche dans les domaines précités, en particulier dans le marketing, étant précisé que l'intimée n'a pas soutenu que tel ne serait pas le cas. Par ailleurs, compte tenu de son expérience et au regard des salaires que lui ont versés ses derniers employeurs, de l'ordre de 10'000 fr. à 15'000 fr., elle sera vraisemblablement en mesure d'obtenir un revenu supérieur à son minimum vital élargi. Un tel revenu ne peut toutefois lui être imputé immédiatement, il convient de lui laisser un certain temps pour entreprendre les démarches utiles en vue de retrouver un emploi. L'intimée ayant connu des problèmes de santé et une longue période de chômage, la durée fixée à cet effet par le premier juge, soit jusqu'à la fin du mois de mars 2014, est adéquate et suffisante. Les pièces nécessaires à la détermination des revenus et indemnités de l'intimée, dont l'appelant a demandé la production, sont dès lors inutiles. La déposition de</w:t>
      </w:r>
    </w:p>
    <w:p>
      <w:r>
        <w:t>- 13/16 -</w:t>
      </w:r>
    </w:p>
    <w:p>
      <w:r>
        <w:t>C/21141/2012 l'appelant, sollicitée par l'intimée, est également inutile et les faits relatifs à l'acquisition et à la propriété de biens immobiliers (ch. 30 à 57 de l'appel) ne sont pas pertinents pour statuer sur les présentes mesures protectrices. Les charges de l'intimée totalisent 6'590 fr., étant relevé que son loyer effectif, de 3'324 fr., a à juste titre été retenu par le premier juge, dès lors que ce montant a été expressément admis par l'appelant devant lui, le loyer en question étant par ailleurs tout à fait compatible avec le train de vie mené par les parties du temps de la vie commune. 3.5. Un important déséquilibre financier est survenu entre les parties, en raison de la baisse de revenus de l'intimée, au chômage, puis de la disparition totale de ses revenus dès le mois d'août 2013. Le salaire de l'appelant, en revanche, est resté similaire et il suffit pour couvrir les frais supplémentaires liés à l'existence de deux ménages. En application du principe de la solidarité, qui prévaut encore entre les époux au stade des mesures protectrices de l'union conjugale, l'intimée peut prétendre, jusqu'en mars 2014, à une contribution qui la place dans une situation financière semblable à celle prévalant avant la séparation. La contribution d'entretien en faveur de l'intimée se détermine dès lors comme suit, en application de la méthode du minimum vital avec réparation de l'excédent par moitié non contestée par les parties : Revenus des parties : 5'800 fr. + 28'330 fr. = 34'130 fr. Charges élargies : 6'590 fr. + 10'942 fr. = 17'532 fr.</w:t>
      </w:r>
    </w:p>
    <w:p>
      <w:r>
        <w:t>Solde revenus – charges : 34'130 fr. – 17'532 fr. = 16'598 fr.</w:t>
      </w:r>
    </w:p>
    <w:p>
      <w:r>
        <w:t>Répartition solde entre les époux : 16'598 fr./2 = 8'300 fr.</w:t>
      </w:r>
    </w:p>
    <w:p>
      <w:r>
        <w:t>Compte tenu des éléments qui précèdent, la contribution due à l'intimée jusqu'à la fin du mois de juillet 2013 s'élève à 9'090 fr., montant qu'il convient d'arrondir à 9'000 fr. (charges de l'intimée 6'590 fr. + moitié du solde 8'300 fr. - revenu de l'intimée 5'800 fr.). Dès lors que l'intimée n'a pas fait appel du jugement, le point de départ de cette obligation, fixée au 1er mai 2012 par le Tribunal, est confirmé. En outre, le montant de 12'000 fr. fixé par le Tribunal à partir du 1er août 2013 est adéquat, l'intimée étant, en effet, sans revenu propre à partir de cette date. Le solde à répartir entre les époux s'en trouve réduit à 10'798 fr. (revenu des parties 28'330 fr. - charges élargies des parties 17'532 fr.), de sorte que le montant</w:t>
      </w:r>
    </w:p>
    <w:p>
      <w:r>
        <w:t>- 14/16 -</w:t>
      </w:r>
    </w:p>
    <w:p>
      <w:r>
        <w:t>C/21141/2012 de 12'000 fr. résulte du calcul suivant : charges de l'intimée 6'590 fr. + moitié du solde 5'400 fr. (= 11'990 fr.). 4. Le jugement entrepris sera confirmé et les parties seront déboutées de toutes autres conclusions.</w:t>
      </w:r>
    </w:p>
    <w:p>
      <w:r>
        <w:t>La Cour arrête les frais judiciaires de l'appel à 3'200 fr., lesquels seront répartis par moitié entre les parties (art. 105 al. 1 et 107 al. 1 lit. c CPC et art. 31 et 37 RTFMC). L'avance de frais fournie par l'appelant, qui reste acquise à l'Etat, compense les frais judiciaires précités (art. 111 al. 1 CPC). L'intimée sera condamnée à restituer à l'appelant le montant de 1'600 fr. avancé par celui-ci à ce titre (art. 111 al. 2 CPC).</w:t>
      </w:r>
    </w:p>
    <w:p>
      <w:r>
        <w:t>Vu la nature du litige, chacun conservera la charge des dépens qu'il a déjà exposés (art. 107 al. 1 lit. c CPC). * * * * *</w:t>
      </w:r>
    </w:p>
    <w:p>
      <w:r>
        <w:t>- 15/16 -</w:t>
      </w:r>
    </w:p>
    <w:p>
      <w:r>
        <w:t>C/21141/2012 PAR CES MOTIFS, La Chambre civile : A la forme : Déclare recevable l'appel interjeté par A______ contre les chiffres 2 et 3 du dispositif du jugement JTPI/7341/2013 rendu le 28 mai 2013 par le Tribunal de première instance dans la cause C/21141/2012-16. Déclare irrecevables les pièces nos 40 à 61 de A______. Déclare irrecevables la pièce no 45 de B______ et les factures produites sous pièce no 38 établies avant le 19 mars 2013. Au fond : Confirme les chiffres 2 et 3 du dispositif du jugement querellé. Déboute les parties de toutes autres conclusions. Sur les frais d'appel : Arrête les frais judiciaires d'appel à 3'200 fr. et les met à la charge de A______ et de B______ pour moitié chacun. Dit que ces frais sont compensés par l'avance de frais du même montant fournie par A______ qui reste acquise à l'Etat de Genève. Condamne B______ à restituer 1'600 fr. à A______ au titre des frais judiciaires d'appel. Dit que chacune des parties assume ses dépens. Siégeant : Madame Marguerite JACOT-DES-COMBES, présidente; Monsieur Jean-Marc STRUBIN et Madame Elena SAMPEDRO, juges; Madame Nathalie DESCHAMPS, greffière.</w:t>
      </w:r>
    </w:p>
    <w:p>
      <w:r>
        <w:t>La présidente : Marguerite JACOT-DES-COMBES</w:t>
      </w:r>
    </w:p>
    <w:p>
      <w:r>
        <w:t>La greffière : Nathalie DESCHAMPS</w:t>
      </w:r>
    </w:p>
    <w:p>
      <w:r>
        <w:t>- 16/16 -</w:t>
      </w:r>
    </w:p>
    <w:p>
      <w:r>
        <w:t>C/21141/2012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